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E58B" w:themeColor="accent3" w:themeTint="66"/>
  <w:body>
    <w:p w14:paraId="728F6D50" w14:textId="0C2DE637" w:rsidR="007D0E32" w:rsidRPr="00D4307E" w:rsidRDefault="00395D3E" w:rsidP="007D0E32">
      <w:pPr>
        <w:spacing w:after="0" w:line="240" w:lineRule="auto"/>
        <w:jc w:val="center"/>
        <w:rPr>
          <w:rFonts w:ascii="Open Sans" w:hAnsi="Open Sans" w:cs="Open Sans"/>
          <w:b/>
          <w:sz w:val="28"/>
          <w:szCs w:val="28"/>
          <w:lang w:val="en-GB"/>
        </w:rPr>
      </w:pPr>
      <w:bookmarkStart w:id="0" w:name="_GoBack"/>
      <w:bookmarkEnd w:id="0"/>
      <w:r w:rsidRPr="00D4307E">
        <w:rPr>
          <w:rFonts w:ascii="Open Sans" w:hAnsi="Open Sans" w:cs="Open Sans"/>
          <w:b/>
          <w:sz w:val="28"/>
          <w:szCs w:val="28"/>
          <w:lang w:val="en-GB"/>
        </w:rPr>
        <w:t xml:space="preserve">FACTSHEET </w:t>
      </w:r>
      <w:r w:rsidR="001639CB" w:rsidRPr="00D4307E">
        <w:rPr>
          <w:rFonts w:ascii="Open Sans" w:hAnsi="Open Sans" w:cs="Open Sans"/>
          <w:b/>
          <w:sz w:val="28"/>
          <w:szCs w:val="28"/>
          <w:lang w:val="en-GB"/>
        </w:rPr>
        <w:t>4</w:t>
      </w:r>
      <w:r w:rsidRPr="00D4307E">
        <w:rPr>
          <w:rFonts w:ascii="Open Sans" w:hAnsi="Open Sans" w:cs="Open Sans"/>
          <w:b/>
          <w:sz w:val="28"/>
          <w:szCs w:val="28"/>
          <w:lang w:val="en-GB"/>
        </w:rPr>
        <w:t>_</w:t>
      </w:r>
      <w:r w:rsidR="00D601AC" w:rsidRPr="00D4307E">
        <w:rPr>
          <w:rFonts w:ascii="Open Sans" w:hAnsi="Open Sans" w:cs="Open Sans"/>
          <w:b/>
          <w:sz w:val="28"/>
          <w:szCs w:val="28"/>
          <w:lang w:val="en-GB"/>
        </w:rPr>
        <w:t>Priority axis PA</w:t>
      </w:r>
      <w:r w:rsidR="007D0E32" w:rsidRPr="00D4307E">
        <w:rPr>
          <w:rFonts w:ascii="Open Sans" w:hAnsi="Open Sans" w:cs="Open Sans"/>
          <w:b/>
          <w:sz w:val="28"/>
          <w:szCs w:val="28"/>
          <w:lang w:val="en-GB"/>
        </w:rPr>
        <w:t>3</w:t>
      </w:r>
      <w:r w:rsidR="00FF6A93" w:rsidRPr="00D4307E">
        <w:rPr>
          <w:rFonts w:ascii="Open Sans" w:hAnsi="Open Sans" w:cs="Open Sans"/>
          <w:b/>
          <w:sz w:val="28"/>
          <w:szCs w:val="28"/>
          <w:lang w:val="en-GB"/>
        </w:rPr>
        <w:t>_</w:t>
      </w:r>
      <w:r w:rsidR="007D0E32" w:rsidRPr="00D4307E">
        <w:rPr>
          <w:rFonts w:ascii="Open Sans" w:hAnsi="Open Sans" w:cs="Open Sans"/>
          <w:sz w:val="18"/>
          <w:lang w:val="en-GB"/>
        </w:rPr>
        <w:t xml:space="preserve"> </w:t>
      </w:r>
      <w:r w:rsidR="007D0E32" w:rsidRPr="00D4307E">
        <w:rPr>
          <w:rFonts w:ascii="Open Sans" w:hAnsi="Open Sans" w:cs="Open Sans"/>
          <w:b/>
          <w:sz w:val="28"/>
          <w:szCs w:val="28"/>
          <w:lang w:val="en-GB"/>
        </w:rPr>
        <w:t>Improve employment and promote cross-border labour mobility</w:t>
      </w:r>
    </w:p>
    <w:p w14:paraId="25DAF5BE" w14:textId="03619080" w:rsidR="000E3A02" w:rsidRPr="00D4307E" w:rsidRDefault="007D0E32" w:rsidP="007D0E32">
      <w:pPr>
        <w:spacing w:after="0" w:line="240" w:lineRule="auto"/>
        <w:jc w:val="center"/>
        <w:rPr>
          <w:rFonts w:ascii="Open Sans" w:hAnsi="Open Sans" w:cs="Open Sans"/>
          <w:b/>
          <w:sz w:val="28"/>
          <w:szCs w:val="28"/>
          <w:lang w:val="en-GB"/>
        </w:rPr>
      </w:pPr>
      <w:r w:rsidRPr="00D4307E">
        <w:rPr>
          <w:rFonts w:ascii="Open Sans" w:hAnsi="Open Sans" w:cs="Open Sans"/>
          <w:b/>
          <w:sz w:val="28"/>
          <w:szCs w:val="28"/>
          <w:lang w:val="en-GB"/>
        </w:rPr>
        <w:t xml:space="preserve"> (Cooperating on employment)</w:t>
      </w:r>
    </w:p>
    <w:p w14:paraId="58A49BF4" w14:textId="079FA9AB" w:rsidR="00F95809" w:rsidRDefault="00F95809" w:rsidP="00395D3E">
      <w:pPr>
        <w:jc w:val="center"/>
        <w:rPr>
          <w:rFonts w:ascii="Open Sans" w:hAnsi="Open Sans" w:cs="Open Sans"/>
          <w:b/>
          <w:sz w:val="28"/>
          <w:szCs w:val="28"/>
          <w:lang w:val="en-GB"/>
        </w:rPr>
      </w:pPr>
    </w:p>
    <w:p w14:paraId="5DEB5FA2" w14:textId="715A4743" w:rsidR="000E3A02" w:rsidRPr="00D4307E" w:rsidRDefault="00D601AC" w:rsidP="00AE50A6">
      <w:pPr>
        <w:jc w:val="both"/>
        <w:rPr>
          <w:rFonts w:ascii="Open Sans" w:hAnsi="Open Sans" w:cs="Open Sans"/>
          <w:b/>
          <w:sz w:val="24"/>
          <w:szCs w:val="24"/>
          <w:lang w:val="en-GB"/>
        </w:rPr>
      </w:pPr>
      <w:r w:rsidRPr="00D4307E">
        <w:rPr>
          <w:rFonts w:ascii="Open Sans" w:hAnsi="Open Sans" w:cs="Open Sans"/>
          <w:b/>
          <w:sz w:val="24"/>
          <w:szCs w:val="24"/>
          <w:lang w:val="en-GB"/>
        </w:rPr>
        <w:t>Investment priority</w:t>
      </w:r>
      <w:r w:rsidR="00FF021A" w:rsidRPr="00D4307E">
        <w:rPr>
          <w:rFonts w:ascii="Open Sans" w:hAnsi="Open Sans" w:cs="Open Sans"/>
          <w:b/>
          <w:sz w:val="24"/>
          <w:szCs w:val="24"/>
          <w:lang w:val="en-GB"/>
        </w:rPr>
        <w:t xml:space="preserve"> </w:t>
      </w:r>
      <w:r w:rsidR="003F171D" w:rsidRPr="00D4307E">
        <w:rPr>
          <w:rFonts w:ascii="Open Sans" w:hAnsi="Open Sans" w:cs="Open Sans"/>
          <w:b/>
          <w:sz w:val="24"/>
          <w:szCs w:val="24"/>
          <w:lang w:val="en-GB"/>
        </w:rPr>
        <w:t>8</w:t>
      </w:r>
      <w:r w:rsidR="00FF021A" w:rsidRPr="00D4307E">
        <w:rPr>
          <w:rFonts w:ascii="Open Sans" w:hAnsi="Open Sans" w:cs="Open Sans"/>
          <w:b/>
          <w:sz w:val="24"/>
          <w:szCs w:val="24"/>
          <w:lang w:val="en-GB"/>
        </w:rPr>
        <w:t>/</w:t>
      </w:r>
      <w:r w:rsidR="003F171D" w:rsidRPr="00D4307E">
        <w:rPr>
          <w:rFonts w:ascii="Open Sans" w:hAnsi="Open Sans" w:cs="Open Sans"/>
          <w:b/>
          <w:sz w:val="24"/>
          <w:szCs w:val="24"/>
          <w:lang w:val="en-GB"/>
        </w:rPr>
        <w:t>b</w:t>
      </w:r>
      <w:r w:rsidRPr="00D4307E">
        <w:rPr>
          <w:rFonts w:ascii="Open Sans" w:hAnsi="Open Sans" w:cs="Open Sans"/>
          <w:b/>
          <w:sz w:val="24"/>
          <w:szCs w:val="24"/>
          <w:lang w:val="en-GB"/>
        </w:rPr>
        <w:t>:</w:t>
      </w:r>
      <w:r w:rsidR="003F171D" w:rsidRPr="00D4307E">
        <w:rPr>
          <w:rFonts w:ascii="Open Sans" w:hAnsi="Open Sans" w:cs="Open Sans"/>
          <w:b/>
          <w:sz w:val="24"/>
          <w:szCs w:val="24"/>
          <w:lang w:val="en-GB"/>
        </w:rPr>
        <w:t xml:space="preserve"> Supporting employment-friendly growth through the development of endogenous potential as part of a territorial strategy for specific areas, including the conversion of declining industrial regions and enhancement of accessibility to, and development of, specific natural and cultural resources</w:t>
      </w:r>
    </w:p>
    <w:p w14:paraId="534D5D69" w14:textId="77777777" w:rsidR="00F519A4" w:rsidRPr="00D4307E" w:rsidRDefault="00F519A4" w:rsidP="00AE50A6">
      <w:pPr>
        <w:jc w:val="both"/>
        <w:rPr>
          <w:rFonts w:ascii="Open Sans" w:hAnsi="Open Sans" w:cs="Open Sans"/>
          <w:b/>
          <w:lang w:val="en-GB"/>
        </w:rPr>
      </w:pPr>
    </w:p>
    <w:p w14:paraId="01530CFE" w14:textId="38F56BA7" w:rsidR="00792690" w:rsidRPr="00D4307E" w:rsidRDefault="00792690" w:rsidP="00495D5F">
      <w:pPr>
        <w:shd w:val="clear" w:color="auto" w:fill="CBBAA1" w:themeFill="accent6" w:themeFillTint="99"/>
        <w:jc w:val="both"/>
        <w:rPr>
          <w:rFonts w:ascii="Open Sans" w:hAnsi="Open Sans" w:cs="Open Sans"/>
          <w:b/>
          <w:bCs/>
          <w:color w:val="000000" w:themeColor="text1"/>
          <w:lang w:val="en-GB"/>
        </w:rPr>
      </w:pPr>
      <w:r w:rsidRPr="00D4307E">
        <w:rPr>
          <w:rFonts w:ascii="Open Sans" w:hAnsi="Open Sans" w:cs="Open Sans"/>
          <w:noProof/>
          <w:lang w:val="en-US"/>
        </w:rPr>
        <w:drawing>
          <wp:inline distT="0" distB="0" distL="0" distR="0" wp14:anchorId="28FB47EC" wp14:editId="4B02E37A">
            <wp:extent cx="533400" cy="533400"/>
            <wp:effectExtent l="0" t="0" r="0" b="0"/>
            <wp:docPr id="5" name="Picture 5" descr="Ico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con arro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noFill/>
                    <a:ln>
                      <a:noFill/>
                    </a:ln>
                  </pic:spPr>
                </pic:pic>
              </a:graphicData>
            </a:graphic>
          </wp:inline>
        </w:drawing>
      </w:r>
      <w:r w:rsidRPr="00D4307E">
        <w:rPr>
          <w:rFonts w:ascii="Open Sans" w:hAnsi="Open Sans" w:cs="Open Sans"/>
          <w:b/>
          <w:lang w:val="en-GB"/>
        </w:rPr>
        <w:t xml:space="preserve"> </w:t>
      </w:r>
      <w:r w:rsidRPr="00D4307E">
        <w:rPr>
          <w:rFonts w:ascii="Open Sans" w:hAnsi="Open Sans" w:cs="Open Sans"/>
          <w:b/>
          <w:bCs/>
          <w:color w:val="000000" w:themeColor="text1"/>
          <w:lang w:val="en-GB"/>
        </w:rPr>
        <w:t>Results that the Member States seek to achieve with Union support</w:t>
      </w:r>
    </w:p>
    <w:p w14:paraId="3A2FB4CB" w14:textId="347270A0" w:rsidR="00792690" w:rsidRPr="00D4307E" w:rsidRDefault="00792690" w:rsidP="00495D5F">
      <w:pPr>
        <w:autoSpaceDE w:val="0"/>
        <w:autoSpaceDN w:val="0"/>
        <w:adjustRightInd w:val="0"/>
        <w:spacing w:after="0" w:line="240" w:lineRule="auto"/>
        <w:jc w:val="both"/>
        <w:rPr>
          <w:rFonts w:ascii="Open Sans" w:hAnsi="Open Sans" w:cs="Open Sans"/>
          <w:lang w:val="en-GB"/>
        </w:rPr>
      </w:pPr>
      <w:r w:rsidRPr="00D4307E">
        <w:rPr>
          <w:rFonts w:ascii="Open Sans" w:hAnsi="Open Sans" w:cs="Open Sans"/>
          <w:lang w:val="en-GB"/>
        </w:rPr>
        <w:t>Increased employment and growth in the eligible area also require concerted actions from the various stakeholders. As a result of the interventions foreseen, integrated strategies of specific territories based on their endogenous potentials (mainly in the</w:t>
      </w:r>
      <w:r w:rsidR="00495D5F" w:rsidRPr="00D4307E">
        <w:rPr>
          <w:rFonts w:ascii="Open Sans" w:hAnsi="Open Sans" w:cs="Open Sans"/>
          <w:lang w:val="en-GB"/>
        </w:rPr>
        <w:t xml:space="preserve"> </w:t>
      </w:r>
      <w:r w:rsidRPr="00D4307E">
        <w:rPr>
          <w:rFonts w:ascii="Open Sans" w:hAnsi="Open Sans" w:cs="Open Sans"/>
          <w:lang w:val="en-GB"/>
        </w:rPr>
        <w:t>fields of agricultural production and food production) will be in place and implemented, and, as a result, the environment of businesses will be improved, cooperation will be enhanced based on mutual advantages, and infrastructure – including roads where necessary – will be developed enabling increasing cross-border sales of local products. As a result of the various interventions foreseen, new jobs can be created, more people can be involved in the labo</w:t>
      </w:r>
      <w:r w:rsidR="00A0239C" w:rsidRPr="00D4307E">
        <w:rPr>
          <w:rFonts w:ascii="Open Sans" w:hAnsi="Open Sans" w:cs="Open Sans"/>
          <w:lang w:val="en-GB"/>
        </w:rPr>
        <w:t>u</w:t>
      </w:r>
      <w:r w:rsidRPr="00D4307E">
        <w:rPr>
          <w:rFonts w:ascii="Open Sans" w:hAnsi="Open Sans" w:cs="Open Sans"/>
          <w:lang w:val="en-GB"/>
        </w:rPr>
        <w:t>r market, which can lead to the decrease of the unemployment rate of the territories being in the worst employment position. The interventions foreseen will be implemented in such a way that they strengthen equal opportunities, and contribute to non-discrimination and equality between men and women.</w:t>
      </w:r>
    </w:p>
    <w:p w14:paraId="25578743" w14:textId="77777777" w:rsidR="00495D5F" w:rsidRPr="00D4307E" w:rsidRDefault="00495D5F" w:rsidP="00495D5F">
      <w:pPr>
        <w:autoSpaceDE w:val="0"/>
        <w:autoSpaceDN w:val="0"/>
        <w:adjustRightInd w:val="0"/>
        <w:spacing w:after="0" w:line="240" w:lineRule="auto"/>
        <w:jc w:val="both"/>
        <w:rPr>
          <w:rFonts w:ascii="Open Sans" w:hAnsi="Open Sans" w:cs="Open Sans"/>
          <w:b/>
          <w:lang w:val="en-GB"/>
        </w:rPr>
      </w:pPr>
    </w:p>
    <w:p w14:paraId="6A261735" w14:textId="77777777" w:rsidR="00792690" w:rsidRPr="00D4307E" w:rsidRDefault="00792690" w:rsidP="00AE50A6">
      <w:pPr>
        <w:jc w:val="both"/>
        <w:rPr>
          <w:rFonts w:ascii="Open Sans" w:hAnsi="Open Sans" w:cs="Open Sans"/>
          <w:b/>
          <w:lang w:val="en-GB"/>
        </w:rPr>
      </w:pPr>
    </w:p>
    <w:p w14:paraId="5332C79F" w14:textId="0C2E4954" w:rsidR="0079079D" w:rsidRPr="00D4307E" w:rsidRDefault="0079079D" w:rsidP="00FF021A">
      <w:pPr>
        <w:shd w:val="clear" w:color="auto" w:fill="CBBAA1" w:themeFill="accent6" w:themeFillTint="99"/>
        <w:spacing w:after="216" w:line="259" w:lineRule="auto"/>
        <w:rPr>
          <w:rFonts w:ascii="Open Sans" w:hAnsi="Open Sans" w:cs="Open Sans"/>
          <w:b/>
          <w:lang w:val="en-GB"/>
        </w:rPr>
      </w:pPr>
      <w:r w:rsidRPr="00D4307E">
        <w:rPr>
          <w:rFonts w:ascii="Open Sans" w:hAnsi="Open Sans" w:cs="Open Sans"/>
          <w:b/>
          <w:sz w:val="72"/>
          <w:szCs w:val="72"/>
          <w:lang w:val="en-GB"/>
        </w:rPr>
        <w:sym w:font="Wingdings" w:char="F024"/>
      </w:r>
      <w:r w:rsidRPr="00D4307E">
        <w:rPr>
          <w:rFonts w:ascii="Open Sans" w:hAnsi="Open Sans" w:cs="Open Sans"/>
          <w:b/>
          <w:lang w:val="en-GB"/>
        </w:rPr>
        <w:t>Focus of interventions</w:t>
      </w:r>
      <w:r w:rsidR="00553E52" w:rsidRPr="00D4307E">
        <w:rPr>
          <w:rFonts w:ascii="Open Sans" w:hAnsi="Open Sans" w:cs="Open Sans"/>
          <w:b/>
          <w:lang w:val="en-GB"/>
        </w:rPr>
        <w:t>:</w:t>
      </w:r>
    </w:p>
    <w:p w14:paraId="3A2015C5" w14:textId="77777777" w:rsidR="003F171D" w:rsidRPr="00D4307E" w:rsidRDefault="003F171D" w:rsidP="00AE50A6">
      <w:pPr>
        <w:spacing w:after="240" w:line="238" w:lineRule="auto"/>
        <w:jc w:val="both"/>
        <w:rPr>
          <w:rFonts w:ascii="Open Sans" w:hAnsi="Open Sans" w:cs="Open Sans"/>
          <w:lang w:val="en-GB"/>
        </w:rPr>
      </w:pPr>
      <w:r w:rsidRPr="00D4307E">
        <w:rPr>
          <w:rFonts w:ascii="Open Sans" w:hAnsi="Open Sans" w:cs="Open Sans"/>
          <w:lang w:val="en-GB"/>
        </w:rPr>
        <w:t>With the aim to strengthen the employment-related approach of the priority with a specific focus on balancing supply and demand in the labour market of the programme area and enhancing the mobility of workforce. For the employment-friendly growth of the eligible counties, complex interventions building on the endogenous potential and specificities of the given areas need to be implemented with the aim to increase the employment having focus on balancing supply and demand in the labour market and to enhance the mobility of workforce.</w:t>
      </w:r>
    </w:p>
    <w:p w14:paraId="7BEFEA73" w14:textId="205D6B45" w:rsidR="006E40E1" w:rsidRDefault="003F171D" w:rsidP="00AE50A6">
      <w:pPr>
        <w:spacing w:after="262" w:line="259" w:lineRule="auto"/>
        <w:jc w:val="both"/>
        <w:rPr>
          <w:rFonts w:ascii="Open Sans" w:hAnsi="Open Sans" w:cs="Open Sans"/>
          <w:lang w:val="en-GB"/>
        </w:rPr>
      </w:pPr>
      <w:r w:rsidRPr="00D4307E">
        <w:rPr>
          <w:rFonts w:ascii="Open Sans" w:hAnsi="Open Sans" w:cs="Open Sans"/>
          <w:lang w:val="en-GB"/>
        </w:rPr>
        <w:t>The actions to be supported may differ from territory to territory, examples could include:</w:t>
      </w:r>
    </w:p>
    <w:p w14:paraId="3AE8FDB3" w14:textId="60D1CE99" w:rsidR="003F171D" w:rsidRPr="00D4307E" w:rsidRDefault="003F171D" w:rsidP="00D4307E">
      <w:pPr>
        <w:tabs>
          <w:tab w:val="left" w:pos="7755"/>
        </w:tabs>
        <w:rPr>
          <w:rFonts w:ascii="Open Sans" w:hAnsi="Open Sans" w:cs="Open Sans"/>
          <w:lang w:val="en-GB"/>
        </w:rPr>
      </w:pPr>
    </w:p>
    <w:p w14:paraId="3E022D59" w14:textId="295A35A2" w:rsidR="003F171D" w:rsidRPr="00D4307E" w:rsidRDefault="003F171D" w:rsidP="00246730">
      <w:pPr>
        <w:numPr>
          <w:ilvl w:val="0"/>
          <w:numId w:val="70"/>
        </w:numPr>
        <w:spacing w:after="40" w:line="244" w:lineRule="auto"/>
        <w:ind w:hanging="290"/>
        <w:jc w:val="both"/>
        <w:rPr>
          <w:rFonts w:ascii="Open Sans" w:hAnsi="Open Sans" w:cs="Open Sans"/>
          <w:lang w:val="en-GB"/>
        </w:rPr>
      </w:pPr>
      <w:r w:rsidRPr="00D4307E">
        <w:rPr>
          <w:rFonts w:ascii="Open Sans" w:hAnsi="Open Sans" w:cs="Open Sans"/>
          <w:lang w:val="en-GB"/>
        </w:rPr>
        <w:lastRenderedPageBreak/>
        <w:t>Improving the environment of businesses, enhancing employment and cooperation based on mutual advantages, development of facilities enabling cross-border sales of local products</w:t>
      </w:r>
      <w:r w:rsidR="00071149" w:rsidRPr="00D4307E">
        <w:rPr>
          <w:rFonts w:ascii="Open Sans" w:hAnsi="Open Sans" w:cs="Open Sans"/>
          <w:lang w:val="en-GB"/>
        </w:rPr>
        <w:t>.</w:t>
      </w:r>
    </w:p>
    <w:p w14:paraId="749274A3" w14:textId="77777777" w:rsidR="003F171D" w:rsidRPr="00D4307E" w:rsidRDefault="003F171D" w:rsidP="00246730">
      <w:pPr>
        <w:numPr>
          <w:ilvl w:val="0"/>
          <w:numId w:val="70"/>
        </w:numPr>
        <w:spacing w:after="40" w:line="244" w:lineRule="auto"/>
        <w:ind w:hanging="290"/>
        <w:jc w:val="both"/>
        <w:rPr>
          <w:rFonts w:ascii="Open Sans" w:hAnsi="Open Sans" w:cs="Open Sans"/>
          <w:lang w:val="en-GB"/>
        </w:rPr>
      </w:pPr>
      <w:r w:rsidRPr="00D4307E">
        <w:rPr>
          <w:rFonts w:ascii="Open Sans" w:hAnsi="Open Sans" w:cs="Open Sans"/>
          <w:lang w:val="en-GB"/>
        </w:rPr>
        <w:t>Improving the cross-border accessibility of important facilities to strengthen the local economy and employment through the development and reconstruction of roads.</w:t>
      </w:r>
    </w:p>
    <w:p w14:paraId="31919218" w14:textId="77777777" w:rsidR="003F171D" w:rsidRPr="00D4307E" w:rsidRDefault="003F171D" w:rsidP="00246730">
      <w:pPr>
        <w:numPr>
          <w:ilvl w:val="0"/>
          <w:numId w:val="70"/>
        </w:numPr>
        <w:spacing w:after="234" w:line="244" w:lineRule="auto"/>
        <w:ind w:hanging="290"/>
        <w:jc w:val="both"/>
        <w:rPr>
          <w:rFonts w:ascii="Open Sans" w:hAnsi="Open Sans" w:cs="Open Sans"/>
          <w:lang w:val="en-GB"/>
        </w:rPr>
      </w:pPr>
      <w:r w:rsidRPr="00D4307E">
        <w:rPr>
          <w:rFonts w:ascii="Open Sans" w:hAnsi="Open Sans" w:cs="Open Sans"/>
          <w:lang w:val="en-GB"/>
        </w:rPr>
        <w:t>Enhancing the co-operation of local labour market actors in order to improve labour matching and the employment situation of the eligible territory.</w:t>
      </w:r>
    </w:p>
    <w:p w14:paraId="29ECE6B7" w14:textId="77777777" w:rsidR="00495D5F" w:rsidRPr="00D4307E" w:rsidRDefault="00495D5F" w:rsidP="00495D5F">
      <w:pPr>
        <w:spacing w:after="234" w:line="244" w:lineRule="auto"/>
        <w:ind w:left="720"/>
        <w:jc w:val="both"/>
        <w:rPr>
          <w:rFonts w:ascii="Open Sans" w:hAnsi="Open Sans" w:cs="Open Sans"/>
          <w:lang w:val="en-GB"/>
        </w:rPr>
      </w:pPr>
    </w:p>
    <w:p w14:paraId="376F7778" w14:textId="66BFCE05" w:rsidR="004A6593" w:rsidRPr="00D4307E" w:rsidRDefault="003C427A" w:rsidP="00FF021A">
      <w:pPr>
        <w:shd w:val="clear" w:color="auto" w:fill="CBBAA1" w:themeFill="accent6" w:themeFillTint="99"/>
        <w:jc w:val="both"/>
        <w:rPr>
          <w:rFonts w:ascii="Open Sans" w:hAnsi="Open Sans" w:cs="Open Sans"/>
          <w:lang w:val="en-GB"/>
        </w:rPr>
      </w:pPr>
      <w:r w:rsidRPr="00D4307E">
        <w:rPr>
          <w:rFonts w:ascii="Open Sans" w:hAnsi="Open Sans" w:cs="Open Sans"/>
          <w:b/>
          <w:sz w:val="72"/>
          <w:szCs w:val="72"/>
          <w:lang w:val="en-GB"/>
        </w:rPr>
        <w:sym w:font="Wingdings" w:char="F021"/>
      </w:r>
      <w:r w:rsidR="00AE50A6" w:rsidRPr="00D4307E">
        <w:rPr>
          <w:rFonts w:ascii="Open Sans" w:hAnsi="Open Sans" w:cs="Open Sans"/>
          <w:b/>
          <w:lang w:val="en-GB"/>
        </w:rPr>
        <w:t>The i</w:t>
      </w:r>
      <w:r w:rsidR="00D601AC" w:rsidRPr="00D4307E">
        <w:rPr>
          <w:rFonts w:ascii="Open Sans" w:hAnsi="Open Sans" w:cs="Open Sans"/>
          <w:b/>
          <w:lang w:val="en-GB"/>
        </w:rPr>
        <w:t>ndicative actions</w:t>
      </w:r>
      <w:r w:rsidR="00553E52" w:rsidRPr="00D4307E">
        <w:rPr>
          <w:rFonts w:ascii="Open Sans" w:hAnsi="Open Sans" w:cs="Open Sans"/>
          <w:b/>
          <w:lang w:val="en-GB"/>
        </w:rPr>
        <w:t>:</w:t>
      </w:r>
      <w:r w:rsidR="00D601AC" w:rsidRPr="00D4307E">
        <w:rPr>
          <w:rFonts w:ascii="Open Sans" w:hAnsi="Open Sans" w:cs="Open Sans"/>
          <w:lang w:val="en-GB"/>
        </w:rPr>
        <w:t xml:space="preserve"> </w:t>
      </w:r>
    </w:p>
    <w:p w14:paraId="7D573C51" w14:textId="235403BD" w:rsidR="00D601AC" w:rsidRPr="00D4307E" w:rsidRDefault="004A6593" w:rsidP="00AE50A6">
      <w:pPr>
        <w:jc w:val="both"/>
        <w:rPr>
          <w:rFonts w:ascii="Open Sans" w:hAnsi="Open Sans" w:cs="Open Sans"/>
          <w:lang w:val="en-GB"/>
        </w:rPr>
      </w:pPr>
      <w:r w:rsidRPr="00D4307E">
        <w:rPr>
          <w:rFonts w:ascii="Open Sans" w:hAnsi="Open Sans" w:cs="Open Sans"/>
          <w:lang w:val="en-GB"/>
        </w:rPr>
        <w:t xml:space="preserve">The indicative actions </w:t>
      </w:r>
      <w:r w:rsidR="003F171D" w:rsidRPr="00D4307E">
        <w:rPr>
          <w:rFonts w:ascii="Open Sans" w:hAnsi="Open Sans" w:cs="Open Sans"/>
          <w:lang w:val="en-GB"/>
        </w:rPr>
        <w:t>are support to harmonized interventions enabling employment-friendly growth.</w:t>
      </w:r>
    </w:p>
    <w:p w14:paraId="5BBA06C4" w14:textId="77777777" w:rsidR="003F171D" w:rsidRPr="00D4307E" w:rsidRDefault="003F171D" w:rsidP="00AE50A6">
      <w:pPr>
        <w:spacing w:line="259" w:lineRule="auto"/>
        <w:jc w:val="both"/>
        <w:rPr>
          <w:rFonts w:ascii="Open Sans" w:hAnsi="Open Sans" w:cs="Open Sans"/>
          <w:lang w:val="en-GB"/>
        </w:rPr>
      </w:pPr>
      <w:r w:rsidRPr="00D4307E">
        <w:rPr>
          <w:rFonts w:ascii="Open Sans" w:hAnsi="Open Sans" w:cs="Open Sans"/>
          <w:lang w:val="en-GB"/>
        </w:rPr>
        <w:t>Instead of supporting individual projects, this priority is aimed at supporting harmonized interventions of cross-border partnerships of municipalities and other relevant stakeholders including employment centres, training institutions, social partners and NGOs aimed at jointly improving the local conditions of employment friendly growth. Moreover, it also includes measures aiming to promote matching of labour market needs and supply, the development of training and employment programmes focusing on the disadvantaged people so as to promote employment in a more inclusive way.</w:t>
      </w:r>
    </w:p>
    <w:p w14:paraId="47CF1DE7" w14:textId="77777777" w:rsidR="00246730" w:rsidRPr="00D4307E" w:rsidRDefault="00246730" w:rsidP="0045726A">
      <w:pPr>
        <w:jc w:val="both"/>
        <w:rPr>
          <w:rFonts w:ascii="Open Sans" w:hAnsi="Open Sans" w:cs="Open Sans"/>
          <w:lang w:val="en-GB"/>
        </w:rPr>
      </w:pPr>
    </w:p>
    <w:p w14:paraId="44F7B194" w14:textId="7666ED2A" w:rsidR="00D601AC" w:rsidRPr="00D4307E" w:rsidRDefault="003C427A" w:rsidP="00FF021A">
      <w:pPr>
        <w:shd w:val="clear" w:color="auto" w:fill="CBBAA1" w:themeFill="accent6" w:themeFillTint="99"/>
        <w:jc w:val="both"/>
        <w:rPr>
          <w:rFonts w:ascii="Open Sans" w:hAnsi="Open Sans" w:cs="Open Sans"/>
          <w:b/>
          <w:lang w:val="en-GB"/>
        </w:rPr>
      </w:pPr>
      <w:r w:rsidRPr="00D4307E">
        <w:rPr>
          <w:rFonts w:ascii="Open Sans" w:hAnsi="Open Sans" w:cs="Open Sans"/>
          <w:b/>
          <w:sz w:val="72"/>
          <w:szCs w:val="72"/>
          <w:lang w:val="en-GB"/>
        </w:rPr>
        <w:sym w:font="Wingdings" w:char="F034"/>
      </w:r>
      <w:r w:rsidR="00D601AC" w:rsidRPr="00D4307E">
        <w:rPr>
          <w:rFonts w:ascii="Open Sans" w:hAnsi="Open Sans" w:cs="Open Sans"/>
          <w:b/>
          <w:lang w:val="en-GB"/>
        </w:rPr>
        <w:t xml:space="preserve">Types of </w:t>
      </w:r>
      <w:r w:rsidR="00FF021A" w:rsidRPr="00D4307E">
        <w:rPr>
          <w:rFonts w:ascii="Open Sans" w:hAnsi="Open Sans" w:cs="Open Sans"/>
          <w:b/>
          <w:lang w:val="en-GB"/>
        </w:rPr>
        <w:t>activities</w:t>
      </w:r>
      <w:r w:rsidR="00D601AC" w:rsidRPr="00D4307E">
        <w:rPr>
          <w:rFonts w:ascii="Open Sans" w:hAnsi="Open Sans" w:cs="Open Sans"/>
          <w:b/>
          <w:lang w:val="en-GB"/>
        </w:rPr>
        <w:t>:</w:t>
      </w:r>
    </w:p>
    <w:p w14:paraId="6DD056B3" w14:textId="3ADF500F" w:rsidR="003F171D" w:rsidRPr="00D4307E" w:rsidRDefault="003F171D" w:rsidP="00FF021A">
      <w:pPr>
        <w:numPr>
          <w:ilvl w:val="0"/>
          <w:numId w:val="69"/>
        </w:numPr>
        <w:spacing w:before="360" w:after="234" w:line="245" w:lineRule="auto"/>
        <w:ind w:left="714" w:hanging="357"/>
        <w:rPr>
          <w:rFonts w:ascii="Open Sans" w:hAnsi="Open Sans" w:cs="Open Sans"/>
          <w:lang w:val="en-GB"/>
        </w:rPr>
      </w:pPr>
      <w:r w:rsidRPr="00D4307E">
        <w:rPr>
          <w:rFonts w:ascii="Open Sans" w:hAnsi="Open Sans" w:cs="Open Sans"/>
          <w:lang w:val="en-GB"/>
        </w:rPr>
        <w:t>Preparation of integrated development strategy and action plans of specific territories (identification of endogenous potential and infrastructure development needs to increase employment) to introduce the coherence among the planned actions.</w:t>
      </w:r>
    </w:p>
    <w:p w14:paraId="70311628" w14:textId="77777777" w:rsidR="00AE50A6" w:rsidRPr="00D4307E" w:rsidRDefault="00AE50A6" w:rsidP="00080B69">
      <w:pPr>
        <w:spacing w:after="262" w:line="259" w:lineRule="auto"/>
        <w:jc w:val="both"/>
        <w:rPr>
          <w:rFonts w:ascii="Open Sans" w:hAnsi="Open Sans" w:cs="Open Sans"/>
          <w:lang w:val="en-GB"/>
        </w:rPr>
      </w:pPr>
      <w:r w:rsidRPr="00D4307E">
        <w:rPr>
          <w:rFonts w:ascii="Open Sans" w:hAnsi="Open Sans" w:cs="Open Sans"/>
          <w:lang w:val="en-GB"/>
        </w:rPr>
        <w:t>The following actions can be implemented based on strategies:</w:t>
      </w:r>
    </w:p>
    <w:p w14:paraId="262BFB76" w14:textId="3EF235E1" w:rsidR="00AE50A6" w:rsidRPr="00D4307E" w:rsidRDefault="00AE50A6" w:rsidP="006E5715">
      <w:pPr>
        <w:numPr>
          <w:ilvl w:val="0"/>
          <w:numId w:val="69"/>
        </w:numPr>
        <w:spacing w:after="60" w:line="244" w:lineRule="auto"/>
        <w:ind w:left="714" w:hanging="357"/>
        <w:jc w:val="both"/>
        <w:rPr>
          <w:rFonts w:ascii="Open Sans" w:hAnsi="Open Sans" w:cs="Open Sans"/>
          <w:lang w:val="en-GB"/>
        </w:rPr>
      </w:pPr>
      <w:r w:rsidRPr="00D4307E">
        <w:rPr>
          <w:rFonts w:ascii="Open Sans" w:hAnsi="Open Sans" w:cs="Open Sans"/>
          <w:lang w:val="en-GB"/>
        </w:rPr>
        <w:t>Implementation of cross-border employment initiatives, cross-border cooperation between relevant stakeholders of labour market (e.g. employment centres, training institutions, social partners, enterprises and NGOs);</w:t>
      </w:r>
    </w:p>
    <w:p w14:paraId="005AB7B6" w14:textId="6D09C251" w:rsidR="00AE50A6" w:rsidRPr="00D4307E" w:rsidRDefault="00AE50A6" w:rsidP="006E5715">
      <w:pPr>
        <w:numPr>
          <w:ilvl w:val="0"/>
          <w:numId w:val="69"/>
        </w:numPr>
        <w:spacing w:after="60" w:line="259" w:lineRule="auto"/>
        <w:ind w:left="714" w:hanging="357"/>
        <w:jc w:val="both"/>
        <w:rPr>
          <w:rFonts w:ascii="Open Sans" w:hAnsi="Open Sans" w:cs="Open Sans"/>
          <w:lang w:val="en-GB"/>
        </w:rPr>
      </w:pPr>
      <w:r w:rsidRPr="00D4307E">
        <w:rPr>
          <w:rFonts w:ascii="Open Sans" w:hAnsi="Open Sans" w:cs="Open Sans"/>
          <w:lang w:val="en-GB"/>
        </w:rPr>
        <w:t>Targeted actions facilitating the creation of local products/services and related infrastructures based on the local potential;</w:t>
      </w:r>
    </w:p>
    <w:p w14:paraId="33466C6D" w14:textId="2A708581" w:rsidR="00AE50A6" w:rsidRPr="00D4307E" w:rsidRDefault="00AE50A6" w:rsidP="006E5715">
      <w:pPr>
        <w:numPr>
          <w:ilvl w:val="0"/>
          <w:numId w:val="69"/>
        </w:numPr>
        <w:spacing w:after="60" w:line="259" w:lineRule="auto"/>
        <w:ind w:left="714" w:hanging="357"/>
        <w:jc w:val="both"/>
        <w:rPr>
          <w:rFonts w:ascii="Open Sans" w:hAnsi="Open Sans" w:cs="Open Sans"/>
          <w:lang w:val="en-GB"/>
        </w:rPr>
      </w:pPr>
      <w:r w:rsidRPr="00D4307E">
        <w:rPr>
          <w:rFonts w:ascii="Open Sans" w:hAnsi="Open Sans" w:cs="Open Sans"/>
          <w:lang w:val="en-GB"/>
        </w:rPr>
        <w:t>Increase employment by improving business environment through integrated development measures;</w:t>
      </w:r>
    </w:p>
    <w:p w14:paraId="2FBA6AFD" w14:textId="39BE64E1" w:rsidR="00AE50A6" w:rsidRPr="00D4307E" w:rsidRDefault="00AE50A6" w:rsidP="006E5715">
      <w:pPr>
        <w:numPr>
          <w:ilvl w:val="0"/>
          <w:numId w:val="69"/>
        </w:numPr>
        <w:spacing w:after="60" w:line="259" w:lineRule="auto"/>
        <w:ind w:left="714" w:hanging="357"/>
        <w:jc w:val="both"/>
        <w:rPr>
          <w:rFonts w:ascii="Open Sans" w:hAnsi="Open Sans" w:cs="Open Sans"/>
          <w:lang w:val="en-GB"/>
        </w:rPr>
      </w:pPr>
      <w:r w:rsidRPr="00D4307E">
        <w:rPr>
          <w:rFonts w:ascii="Open Sans" w:hAnsi="Open Sans" w:cs="Open Sans"/>
          <w:lang w:val="en-GB"/>
        </w:rPr>
        <w:t>Support for climate change and mitigation through the development of green skills and green employment opportunities in sectors based on the local potential;</w:t>
      </w:r>
    </w:p>
    <w:p w14:paraId="1DA74886" w14:textId="5830DC5C" w:rsidR="00AE50A6" w:rsidRPr="00D4307E" w:rsidRDefault="00AE50A6" w:rsidP="006E5715">
      <w:pPr>
        <w:numPr>
          <w:ilvl w:val="0"/>
          <w:numId w:val="69"/>
        </w:numPr>
        <w:spacing w:after="60" w:line="259" w:lineRule="auto"/>
        <w:ind w:left="714" w:hanging="357"/>
        <w:jc w:val="both"/>
        <w:rPr>
          <w:rFonts w:ascii="Open Sans" w:hAnsi="Open Sans" w:cs="Open Sans"/>
          <w:lang w:val="en-GB"/>
        </w:rPr>
      </w:pPr>
      <w:r w:rsidRPr="00D4307E">
        <w:rPr>
          <w:rFonts w:ascii="Open Sans" w:hAnsi="Open Sans" w:cs="Open Sans"/>
          <w:lang w:val="en-GB"/>
        </w:rPr>
        <w:t>Establishment of joint networks, exchange of good practices, having a demonstrable effect on reaching the set objective under this Ip;</w:t>
      </w:r>
    </w:p>
    <w:p w14:paraId="359603A3" w14:textId="240F288A" w:rsidR="00AE50A6" w:rsidRPr="00D4307E" w:rsidRDefault="00AE50A6" w:rsidP="00080B69">
      <w:pPr>
        <w:numPr>
          <w:ilvl w:val="0"/>
          <w:numId w:val="69"/>
        </w:numPr>
        <w:spacing w:after="234" w:line="244" w:lineRule="auto"/>
        <w:jc w:val="both"/>
        <w:rPr>
          <w:rFonts w:ascii="Open Sans" w:hAnsi="Open Sans" w:cs="Open Sans"/>
          <w:lang w:val="en-GB"/>
        </w:rPr>
      </w:pPr>
      <w:r w:rsidRPr="00D4307E">
        <w:rPr>
          <w:rFonts w:ascii="Open Sans" w:hAnsi="Open Sans" w:cs="Open Sans"/>
          <w:lang w:val="en-GB"/>
        </w:rPr>
        <w:t>Improving cross-border accessibility to employment related facilities in the eligible counties through the construction, upgrading / modernization of roads with cross-border impact.</w:t>
      </w:r>
    </w:p>
    <w:p w14:paraId="25567C6D" w14:textId="77777777" w:rsidR="008F4AC2" w:rsidRPr="00D4307E" w:rsidRDefault="00025FCE" w:rsidP="00025FCE">
      <w:pPr>
        <w:spacing w:after="234" w:line="244" w:lineRule="auto"/>
        <w:ind w:left="720" w:hanging="720"/>
        <w:rPr>
          <w:rFonts w:ascii="Open Sans" w:hAnsi="Open Sans" w:cs="Open Sans"/>
          <w:b/>
          <w:lang w:val="en-GB"/>
        </w:rPr>
      </w:pPr>
      <w:r w:rsidRPr="00D4307E">
        <w:rPr>
          <w:rFonts w:ascii="Open Sans" w:hAnsi="Open Sans" w:cs="Open Sans"/>
          <w:b/>
          <w:lang w:val="en-GB"/>
        </w:rPr>
        <w:t>When designing your project, please keep in mind that</w:t>
      </w:r>
      <w:r w:rsidR="008F4AC2" w:rsidRPr="00D4307E">
        <w:rPr>
          <w:rFonts w:ascii="Open Sans" w:hAnsi="Open Sans" w:cs="Open Sans"/>
          <w:b/>
          <w:lang w:val="en-GB"/>
        </w:rPr>
        <w:t>:</w:t>
      </w:r>
    </w:p>
    <w:p w14:paraId="7D89B091" w14:textId="3D671698" w:rsidR="00025FCE" w:rsidRPr="00D4307E" w:rsidRDefault="008F4AC2" w:rsidP="00B22162">
      <w:pPr>
        <w:pStyle w:val="ListParagraph"/>
        <w:spacing w:after="100" w:afterAutospacing="1" w:line="244" w:lineRule="auto"/>
        <w:jc w:val="both"/>
        <w:rPr>
          <w:rFonts w:ascii="Open Sans" w:hAnsi="Open Sans" w:cs="Open Sans"/>
          <w:b/>
          <w:u w:val="single"/>
          <w:lang w:val="en-GB"/>
        </w:rPr>
      </w:pPr>
      <w:r w:rsidRPr="00D4307E">
        <w:rPr>
          <w:rFonts w:ascii="Open Sans" w:hAnsi="Open Sans" w:cs="Open Sans"/>
          <w:b/>
          <w:lang w:val="en-GB"/>
        </w:rPr>
        <w:t>1.</w:t>
      </w:r>
      <w:r w:rsidR="00246730" w:rsidRPr="00D4307E">
        <w:rPr>
          <w:rFonts w:ascii="Open Sans" w:hAnsi="Open Sans" w:cs="Open Sans"/>
          <w:b/>
          <w:lang w:val="en-GB"/>
        </w:rPr>
        <w:t xml:space="preserve"> </w:t>
      </w:r>
      <w:r w:rsidRPr="00D4307E">
        <w:rPr>
          <w:rFonts w:ascii="Open Sans" w:hAnsi="Open Sans" w:cs="Open Sans"/>
          <w:b/>
          <w:lang w:val="en-GB"/>
        </w:rPr>
        <w:t xml:space="preserve">Preparation of a strategy or an action plan </w:t>
      </w:r>
      <w:r w:rsidRPr="00D4307E">
        <w:rPr>
          <w:rFonts w:ascii="Open Sans" w:hAnsi="Open Sans" w:cs="Open Sans"/>
          <w:b/>
          <w:u w:val="single"/>
          <w:lang w:val="en-GB"/>
        </w:rPr>
        <w:t>cannot be supported as a separate standalone project.</w:t>
      </w:r>
      <w:r w:rsidR="00025FCE" w:rsidRPr="00D4307E">
        <w:rPr>
          <w:rFonts w:ascii="Open Sans" w:hAnsi="Open Sans" w:cs="Open Sans"/>
          <w:b/>
          <w:u w:val="single"/>
          <w:lang w:val="en-GB"/>
        </w:rPr>
        <w:t xml:space="preserve"> </w:t>
      </w:r>
    </w:p>
    <w:p w14:paraId="026882EF" w14:textId="57E592A3" w:rsidR="008F4AC2" w:rsidRPr="00D4307E" w:rsidRDefault="008F4AC2" w:rsidP="00FF021A">
      <w:pPr>
        <w:spacing w:after="100" w:afterAutospacing="1" w:line="259" w:lineRule="auto"/>
        <w:ind w:left="720" w:right="-23"/>
        <w:jc w:val="both"/>
        <w:rPr>
          <w:rFonts w:ascii="Open Sans" w:hAnsi="Open Sans" w:cs="Open Sans"/>
          <w:lang w:val="en-GB"/>
        </w:rPr>
      </w:pPr>
      <w:r w:rsidRPr="00D4307E">
        <w:rPr>
          <w:rFonts w:ascii="Open Sans" w:hAnsi="Open Sans" w:cs="Open Sans"/>
          <w:b/>
          <w:lang w:val="en-GB"/>
        </w:rPr>
        <w:t>2.</w:t>
      </w:r>
      <w:r w:rsidR="00246730" w:rsidRPr="00D4307E">
        <w:rPr>
          <w:rFonts w:ascii="Open Sans" w:hAnsi="Open Sans" w:cs="Open Sans"/>
          <w:b/>
          <w:lang w:val="en-GB"/>
        </w:rPr>
        <w:t xml:space="preserve"> </w:t>
      </w:r>
      <w:r w:rsidRPr="00D4307E">
        <w:rPr>
          <w:rFonts w:ascii="Open Sans" w:hAnsi="Open Sans" w:cs="Open Sans"/>
          <w:b/>
          <w:lang w:val="en-GB"/>
        </w:rPr>
        <w:t xml:space="preserve">Investment in roads </w:t>
      </w:r>
      <w:r w:rsidRPr="00D4307E">
        <w:rPr>
          <w:rFonts w:ascii="Open Sans" w:hAnsi="Open Sans" w:cs="Open Sans"/>
          <w:b/>
          <w:u w:val="single"/>
          <w:lang w:val="en-GB"/>
        </w:rPr>
        <w:t>cannot be supported as standalone operations</w:t>
      </w:r>
      <w:r w:rsidR="00246730" w:rsidRPr="00D4307E">
        <w:rPr>
          <w:rFonts w:ascii="Open Sans" w:hAnsi="Open Sans" w:cs="Open Sans"/>
          <w:b/>
          <w:lang w:val="en-GB"/>
        </w:rPr>
        <w:t xml:space="preserve">; such </w:t>
      </w:r>
      <w:r w:rsidRPr="00D4307E">
        <w:rPr>
          <w:rFonts w:ascii="Open Sans" w:hAnsi="Open Sans" w:cs="Open Sans"/>
          <w:b/>
          <w:lang w:val="en-GB"/>
        </w:rPr>
        <w:t>investments need to be ancillary to investments facilitating employment-friendly growth and shall contribute directly to reaching the selected thematic objective and investment priority under this specific objective</w:t>
      </w:r>
      <w:r w:rsidRPr="00D4307E">
        <w:rPr>
          <w:rFonts w:ascii="Open Sans" w:hAnsi="Open Sans" w:cs="Open Sans"/>
          <w:lang w:val="en-GB"/>
        </w:rPr>
        <w:t>.</w:t>
      </w:r>
      <w:r w:rsidR="00080B69" w:rsidRPr="00D4307E">
        <w:rPr>
          <w:rFonts w:ascii="Open Sans" w:eastAsia="Calibri" w:hAnsi="Open Sans" w:cs="Open Sans"/>
          <w:b/>
          <w:lang w:val="en-GB"/>
        </w:rPr>
        <w:t xml:space="preserve"> This means that total cost of such investments in roads cannot exceed </w:t>
      </w:r>
      <w:r w:rsidR="001639CB" w:rsidRPr="00D4307E">
        <w:rPr>
          <w:rFonts w:ascii="Open Sans" w:eastAsia="Calibri" w:hAnsi="Open Sans" w:cs="Open Sans"/>
          <w:b/>
          <w:lang w:val="en-GB"/>
        </w:rPr>
        <w:t>30</w:t>
      </w:r>
      <w:r w:rsidR="00080B69" w:rsidRPr="00D4307E">
        <w:rPr>
          <w:rFonts w:ascii="Open Sans" w:eastAsia="Calibri" w:hAnsi="Open Sans" w:cs="Open Sans"/>
          <w:b/>
          <w:lang w:val="en-GB"/>
        </w:rPr>
        <w:t>% of the total budget of an operation (project).</w:t>
      </w:r>
    </w:p>
    <w:p w14:paraId="7A9CD0A7" w14:textId="2B2D8011" w:rsidR="002A7D4E" w:rsidRPr="00D4307E" w:rsidRDefault="002A7D4E" w:rsidP="00FF021A">
      <w:pPr>
        <w:autoSpaceDE w:val="0"/>
        <w:autoSpaceDN w:val="0"/>
        <w:adjustRightInd w:val="0"/>
        <w:spacing w:after="30" w:line="240" w:lineRule="auto"/>
        <w:ind w:left="720"/>
        <w:jc w:val="both"/>
        <w:rPr>
          <w:rFonts w:ascii="Open Sans" w:hAnsi="Open Sans" w:cs="Open Sans"/>
          <w:b/>
          <w:color w:val="000000"/>
          <w:lang w:val="en-GB"/>
        </w:rPr>
      </w:pPr>
      <w:r w:rsidRPr="00D4307E">
        <w:rPr>
          <w:rFonts w:ascii="Open Sans" w:hAnsi="Open Sans" w:cs="Open Sans"/>
          <w:b/>
          <w:lang w:val="en-GB"/>
        </w:rPr>
        <w:t>3.</w:t>
      </w:r>
      <w:r w:rsidRPr="00D4307E">
        <w:rPr>
          <w:rFonts w:ascii="Open Sans" w:hAnsi="Open Sans" w:cs="Open Sans"/>
          <w:b/>
          <w:color w:val="000000"/>
          <w:lang w:val="en-GB"/>
        </w:rPr>
        <w:t xml:space="preserve"> Instead of one-off initiatives, only </w:t>
      </w:r>
      <w:r w:rsidRPr="00D4307E">
        <w:rPr>
          <w:rFonts w:ascii="Open Sans" w:hAnsi="Open Sans" w:cs="Open Sans"/>
          <w:b/>
          <w:color w:val="000000"/>
          <w:u w:val="single"/>
          <w:lang w:val="en-GB"/>
        </w:rPr>
        <w:t>sustainable programmes</w:t>
      </w:r>
      <w:r w:rsidRPr="00D4307E">
        <w:rPr>
          <w:rFonts w:ascii="Open Sans" w:hAnsi="Open Sans" w:cs="Open Sans"/>
          <w:b/>
          <w:color w:val="000000"/>
          <w:lang w:val="en-GB"/>
        </w:rPr>
        <w:t xml:space="preserve"> - joint </w:t>
      </w:r>
      <w:r w:rsidRPr="00D4307E">
        <w:rPr>
          <w:rFonts w:ascii="Open Sans" w:hAnsi="Open Sans" w:cs="Open Sans"/>
          <w:b/>
          <w:color w:val="000000"/>
          <w:lang w:val="en-GB"/>
        </w:rPr>
        <w:tab/>
        <w:t xml:space="preserve">employment initiatives and trainings – are to be supported, repeated on a </w:t>
      </w:r>
      <w:r w:rsidRPr="00D4307E">
        <w:rPr>
          <w:rFonts w:ascii="Open Sans" w:hAnsi="Open Sans" w:cs="Open Sans"/>
          <w:b/>
          <w:color w:val="000000"/>
          <w:lang w:val="en-GB"/>
        </w:rPr>
        <w:tab/>
        <w:t xml:space="preserve">regular basis and sustained even after the </w:t>
      </w:r>
      <w:r w:rsidR="00246730" w:rsidRPr="00D4307E">
        <w:rPr>
          <w:rFonts w:ascii="Open Sans" w:hAnsi="Open Sans" w:cs="Open Sans"/>
          <w:b/>
          <w:color w:val="000000"/>
          <w:lang w:val="en-GB"/>
        </w:rPr>
        <w:t>finalization</w:t>
      </w:r>
      <w:r w:rsidRPr="00D4307E">
        <w:rPr>
          <w:rFonts w:ascii="Open Sans" w:hAnsi="Open Sans" w:cs="Open Sans"/>
          <w:b/>
          <w:color w:val="000000"/>
          <w:lang w:val="en-GB"/>
        </w:rPr>
        <w:t xml:space="preserve"> of the project. </w:t>
      </w:r>
    </w:p>
    <w:p w14:paraId="4F652B26" w14:textId="77777777" w:rsidR="00B22162" w:rsidRPr="00D4307E" w:rsidRDefault="00B22162" w:rsidP="00B22162">
      <w:pPr>
        <w:autoSpaceDE w:val="0"/>
        <w:autoSpaceDN w:val="0"/>
        <w:adjustRightInd w:val="0"/>
        <w:spacing w:after="30" w:line="240" w:lineRule="auto"/>
        <w:jc w:val="both"/>
        <w:rPr>
          <w:rFonts w:ascii="Open Sans" w:hAnsi="Open Sans" w:cs="Open Sans"/>
          <w:b/>
          <w:color w:val="000000"/>
          <w:lang w:val="en-GB"/>
        </w:rPr>
      </w:pPr>
    </w:p>
    <w:p w14:paraId="655278BA" w14:textId="65A566C8" w:rsidR="002A7D4E" w:rsidRPr="00D4307E" w:rsidRDefault="002A7D4E" w:rsidP="00B22162">
      <w:pPr>
        <w:autoSpaceDE w:val="0"/>
        <w:autoSpaceDN w:val="0"/>
        <w:adjustRightInd w:val="0"/>
        <w:spacing w:after="30" w:line="240" w:lineRule="auto"/>
        <w:jc w:val="both"/>
        <w:rPr>
          <w:rFonts w:ascii="Open Sans" w:hAnsi="Open Sans" w:cs="Open Sans"/>
          <w:b/>
          <w:color w:val="000000"/>
          <w:lang w:val="en-GB"/>
        </w:rPr>
      </w:pPr>
      <w:r w:rsidRPr="00D4307E">
        <w:rPr>
          <w:rFonts w:ascii="Open Sans" w:hAnsi="Open Sans" w:cs="Open Sans"/>
          <w:b/>
          <w:color w:val="000000"/>
          <w:lang w:val="en-GB"/>
        </w:rPr>
        <w:tab/>
      </w:r>
      <w:r w:rsidR="00246730" w:rsidRPr="00D4307E">
        <w:rPr>
          <w:rFonts w:ascii="Open Sans" w:hAnsi="Open Sans" w:cs="Open Sans"/>
          <w:b/>
          <w:color w:val="000000"/>
          <w:lang w:val="en-GB"/>
        </w:rPr>
        <w:t>4. The</w:t>
      </w:r>
      <w:r w:rsidRPr="00D4307E">
        <w:rPr>
          <w:rFonts w:ascii="Open Sans" w:hAnsi="Open Sans" w:cs="Open Sans"/>
          <w:b/>
          <w:color w:val="000000"/>
          <w:lang w:val="en-GB"/>
        </w:rPr>
        <w:t xml:space="preserve"> supported joint employment initiatives and trainings are required to </w:t>
      </w:r>
      <w:r w:rsidRPr="00D4307E">
        <w:rPr>
          <w:rFonts w:ascii="Open Sans" w:hAnsi="Open Sans" w:cs="Open Sans"/>
          <w:b/>
          <w:color w:val="000000"/>
          <w:lang w:val="en-GB"/>
        </w:rPr>
        <w:tab/>
        <w:t xml:space="preserve">contribute </w:t>
      </w:r>
      <w:r w:rsidRPr="00D4307E">
        <w:rPr>
          <w:rFonts w:ascii="Open Sans" w:hAnsi="Open Sans" w:cs="Open Sans"/>
          <w:b/>
          <w:color w:val="000000"/>
          <w:u w:val="single"/>
          <w:lang w:val="en-GB"/>
        </w:rPr>
        <w:t>to employment</w:t>
      </w:r>
      <w:r w:rsidR="00F632F5" w:rsidRPr="00D4307E">
        <w:rPr>
          <w:rFonts w:ascii="Open Sans" w:hAnsi="Open Sans" w:cs="Open Sans"/>
          <w:b/>
          <w:color w:val="000000"/>
          <w:lang w:val="en-GB"/>
        </w:rPr>
        <w:t>.</w:t>
      </w:r>
    </w:p>
    <w:p w14:paraId="773540AB" w14:textId="77777777" w:rsidR="00B22162" w:rsidRPr="00D4307E" w:rsidRDefault="00B22162" w:rsidP="00B22162">
      <w:pPr>
        <w:autoSpaceDE w:val="0"/>
        <w:autoSpaceDN w:val="0"/>
        <w:adjustRightInd w:val="0"/>
        <w:spacing w:after="30" w:line="240" w:lineRule="auto"/>
        <w:jc w:val="both"/>
        <w:rPr>
          <w:rFonts w:ascii="Open Sans" w:hAnsi="Open Sans" w:cs="Open Sans"/>
          <w:b/>
          <w:color w:val="000000"/>
          <w:lang w:val="en-GB"/>
        </w:rPr>
      </w:pPr>
    </w:p>
    <w:p w14:paraId="1E94DB55" w14:textId="65BCBF0D" w:rsidR="002A7D4E" w:rsidRPr="00D4307E" w:rsidRDefault="002A7D4E" w:rsidP="00246730">
      <w:pPr>
        <w:autoSpaceDE w:val="0"/>
        <w:autoSpaceDN w:val="0"/>
        <w:adjustRightInd w:val="0"/>
        <w:spacing w:after="30" w:line="240" w:lineRule="auto"/>
        <w:ind w:left="720"/>
        <w:jc w:val="both"/>
        <w:rPr>
          <w:rFonts w:ascii="Open Sans" w:hAnsi="Open Sans" w:cs="Open Sans"/>
          <w:b/>
          <w:color w:val="000000"/>
          <w:lang w:val="en-GB"/>
        </w:rPr>
      </w:pPr>
      <w:r w:rsidRPr="00D4307E">
        <w:rPr>
          <w:rFonts w:ascii="Open Sans" w:hAnsi="Open Sans" w:cs="Open Sans"/>
          <w:b/>
          <w:color w:val="000000"/>
          <w:lang w:val="en-GB"/>
        </w:rPr>
        <w:t>5.</w:t>
      </w:r>
      <w:r w:rsidRPr="00D4307E">
        <w:rPr>
          <w:rFonts w:ascii="Open Sans" w:hAnsi="Open Sans" w:cs="Open Sans"/>
          <w:color w:val="000000"/>
          <w:lang w:val="en-GB"/>
        </w:rPr>
        <w:t xml:space="preserve"> </w:t>
      </w:r>
      <w:r w:rsidRPr="00D4307E">
        <w:rPr>
          <w:rFonts w:ascii="Open Sans" w:hAnsi="Open Sans" w:cs="Open Sans"/>
          <w:b/>
          <w:color w:val="000000"/>
          <w:lang w:val="en-GB"/>
        </w:rPr>
        <w:t xml:space="preserve">One person can </w:t>
      </w:r>
      <w:r w:rsidRPr="00D4307E">
        <w:rPr>
          <w:rFonts w:ascii="Open Sans" w:hAnsi="Open Sans" w:cs="Open Sans"/>
          <w:b/>
          <w:color w:val="000000"/>
          <w:u w:val="single"/>
          <w:lang w:val="en-GB"/>
        </w:rPr>
        <w:t>only be counted once</w:t>
      </w:r>
      <w:r w:rsidRPr="00D4307E">
        <w:rPr>
          <w:rFonts w:ascii="Open Sans" w:hAnsi="Open Sans" w:cs="Open Sans"/>
          <w:b/>
          <w:color w:val="000000"/>
          <w:lang w:val="en-GB"/>
        </w:rPr>
        <w:t>, even if benefiting from more than two services.</w:t>
      </w:r>
    </w:p>
    <w:p w14:paraId="52C45D4C" w14:textId="77777777" w:rsidR="00080B69" w:rsidRPr="00D4307E" w:rsidRDefault="00080B69" w:rsidP="00246730">
      <w:pPr>
        <w:autoSpaceDE w:val="0"/>
        <w:autoSpaceDN w:val="0"/>
        <w:adjustRightInd w:val="0"/>
        <w:spacing w:after="30" w:line="240" w:lineRule="auto"/>
        <w:ind w:left="720"/>
        <w:jc w:val="both"/>
        <w:rPr>
          <w:rFonts w:ascii="Open Sans" w:hAnsi="Open Sans" w:cs="Open Sans"/>
          <w:b/>
          <w:color w:val="000000"/>
          <w:lang w:val="en-GB"/>
        </w:rPr>
      </w:pPr>
    </w:p>
    <w:p w14:paraId="7FFD124D" w14:textId="77777777" w:rsidR="005926CF" w:rsidRPr="00D4307E" w:rsidRDefault="005926CF" w:rsidP="00246730">
      <w:pPr>
        <w:autoSpaceDE w:val="0"/>
        <w:autoSpaceDN w:val="0"/>
        <w:adjustRightInd w:val="0"/>
        <w:spacing w:after="30" w:line="240" w:lineRule="auto"/>
        <w:ind w:left="720"/>
        <w:jc w:val="both"/>
        <w:rPr>
          <w:rFonts w:ascii="Open Sans" w:hAnsi="Open Sans" w:cs="Open Sans"/>
          <w:b/>
          <w:color w:val="000000"/>
          <w:lang w:val="en-GB"/>
        </w:rPr>
      </w:pPr>
    </w:p>
    <w:p w14:paraId="0D725350" w14:textId="559981E1" w:rsidR="00D601AC" w:rsidRPr="00D4307E" w:rsidRDefault="003C427A" w:rsidP="00FF021A">
      <w:pPr>
        <w:shd w:val="clear" w:color="auto" w:fill="CBBAA1" w:themeFill="accent6" w:themeFillTint="99"/>
        <w:jc w:val="both"/>
        <w:rPr>
          <w:rFonts w:ascii="Open Sans" w:hAnsi="Open Sans" w:cs="Open Sans"/>
          <w:b/>
          <w:lang w:val="en-GB"/>
        </w:rPr>
      </w:pPr>
      <w:r w:rsidRPr="00D4307E">
        <w:rPr>
          <w:rFonts w:ascii="Open Sans" w:hAnsi="Open Sans" w:cs="Open Sans"/>
          <w:b/>
          <w:sz w:val="72"/>
          <w:szCs w:val="72"/>
          <w:lang w:val="en-GB"/>
        </w:rPr>
        <w:sym w:font="Wingdings" w:char="F04A"/>
      </w:r>
      <w:r w:rsidR="002377D4" w:rsidRPr="00D4307E">
        <w:rPr>
          <w:rFonts w:ascii="Open Sans" w:hAnsi="Open Sans" w:cs="Open Sans"/>
          <w:b/>
          <w:lang w:val="en-GB"/>
        </w:rPr>
        <w:t>L</w:t>
      </w:r>
      <w:r w:rsidR="00D601AC" w:rsidRPr="00D4307E">
        <w:rPr>
          <w:rFonts w:ascii="Open Sans" w:hAnsi="Open Sans" w:cs="Open Sans"/>
          <w:b/>
          <w:lang w:val="en-GB"/>
        </w:rPr>
        <w:t>ist of potential beneficiaries:</w:t>
      </w:r>
    </w:p>
    <w:p w14:paraId="49B7A53F" w14:textId="1D375C12" w:rsidR="00025FCE" w:rsidRPr="00D4307E" w:rsidRDefault="00025FCE" w:rsidP="00025FCE">
      <w:pPr>
        <w:numPr>
          <w:ilvl w:val="0"/>
          <w:numId w:val="68"/>
        </w:numPr>
        <w:spacing w:after="0" w:line="259" w:lineRule="auto"/>
        <w:rPr>
          <w:rFonts w:ascii="Open Sans" w:hAnsi="Open Sans" w:cs="Open Sans"/>
          <w:lang w:val="en-GB"/>
        </w:rPr>
      </w:pPr>
      <w:r w:rsidRPr="00D4307E">
        <w:rPr>
          <w:rFonts w:ascii="Open Sans" w:hAnsi="Open Sans" w:cs="Open Sans"/>
          <w:lang w:val="en-GB"/>
        </w:rPr>
        <w:t>Local</w:t>
      </w:r>
      <w:r w:rsidR="00056C8A">
        <w:rPr>
          <w:rFonts w:ascii="Open Sans" w:hAnsi="Open Sans" w:cs="Open Sans"/>
          <w:lang w:val="en-GB"/>
        </w:rPr>
        <w:t>,</w:t>
      </w:r>
      <w:r w:rsidRPr="00D4307E">
        <w:rPr>
          <w:rFonts w:ascii="Open Sans" w:hAnsi="Open Sans" w:cs="Open Sans"/>
          <w:lang w:val="en-GB"/>
        </w:rPr>
        <w:t xml:space="preserve"> county</w:t>
      </w:r>
      <w:r w:rsidR="00056C8A">
        <w:rPr>
          <w:rFonts w:ascii="Open Sans" w:hAnsi="Open Sans" w:cs="Open Sans"/>
          <w:lang w:val="en-GB"/>
        </w:rPr>
        <w:t xml:space="preserve"> and central</w:t>
      </w:r>
      <w:r w:rsidRPr="00D4307E">
        <w:rPr>
          <w:rFonts w:ascii="Open Sans" w:hAnsi="Open Sans" w:cs="Open Sans"/>
          <w:lang w:val="en-GB"/>
        </w:rPr>
        <w:t xml:space="preserve"> governments / administrations and their institutions</w:t>
      </w:r>
    </w:p>
    <w:p w14:paraId="254B4BEA" w14:textId="7D186715" w:rsidR="00025FCE" w:rsidRPr="00D4307E" w:rsidRDefault="00535629" w:rsidP="00025FCE">
      <w:pPr>
        <w:numPr>
          <w:ilvl w:val="0"/>
          <w:numId w:val="68"/>
        </w:numPr>
        <w:spacing w:after="0" w:line="259" w:lineRule="auto"/>
        <w:rPr>
          <w:rFonts w:ascii="Open Sans" w:hAnsi="Open Sans" w:cs="Open Sans"/>
          <w:lang w:val="en-GB"/>
        </w:rPr>
      </w:pPr>
      <w:r w:rsidRPr="00D4307E">
        <w:rPr>
          <w:rFonts w:ascii="Open Sans" w:hAnsi="Open Sans" w:cs="Open Sans"/>
          <w:lang w:val="en-GB"/>
        </w:rPr>
        <w:t xml:space="preserve">Public management </w:t>
      </w:r>
      <w:r w:rsidR="00025FCE" w:rsidRPr="00D4307E">
        <w:rPr>
          <w:rFonts w:ascii="Open Sans" w:hAnsi="Open Sans" w:cs="Open Sans"/>
          <w:lang w:val="en-GB"/>
        </w:rPr>
        <w:t>organisations of business and logistic centres</w:t>
      </w:r>
    </w:p>
    <w:p w14:paraId="54AC044F" w14:textId="2C37825F" w:rsidR="00025FCE" w:rsidRPr="00D4307E" w:rsidRDefault="00535629" w:rsidP="00025FCE">
      <w:pPr>
        <w:numPr>
          <w:ilvl w:val="0"/>
          <w:numId w:val="68"/>
        </w:numPr>
        <w:spacing w:after="0" w:line="259" w:lineRule="auto"/>
        <w:rPr>
          <w:rFonts w:ascii="Open Sans" w:hAnsi="Open Sans" w:cs="Open Sans"/>
          <w:lang w:val="en-GB"/>
        </w:rPr>
      </w:pPr>
      <w:r w:rsidRPr="00D4307E">
        <w:rPr>
          <w:rFonts w:ascii="Open Sans" w:hAnsi="Open Sans" w:cs="Open Sans"/>
          <w:lang w:val="en-GB"/>
        </w:rPr>
        <w:t>Public h</w:t>
      </w:r>
      <w:r w:rsidR="00025FCE" w:rsidRPr="00D4307E">
        <w:rPr>
          <w:rFonts w:ascii="Open Sans" w:hAnsi="Open Sans" w:cs="Open Sans"/>
          <w:lang w:val="en-GB"/>
        </w:rPr>
        <w:t>igher education institutions</w:t>
      </w:r>
    </w:p>
    <w:p w14:paraId="662E1C4B" w14:textId="77777777" w:rsidR="00025FCE" w:rsidRPr="00D4307E" w:rsidRDefault="00025FCE" w:rsidP="00025FCE">
      <w:pPr>
        <w:numPr>
          <w:ilvl w:val="0"/>
          <w:numId w:val="68"/>
        </w:numPr>
        <w:spacing w:after="0" w:line="259" w:lineRule="auto"/>
        <w:rPr>
          <w:rFonts w:ascii="Open Sans" w:hAnsi="Open Sans" w:cs="Open Sans"/>
          <w:lang w:val="en-GB"/>
        </w:rPr>
      </w:pPr>
      <w:r w:rsidRPr="00D4307E">
        <w:rPr>
          <w:rFonts w:ascii="Open Sans" w:hAnsi="Open Sans" w:cs="Open Sans"/>
          <w:lang w:val="en-GB"/>
        </w:rPr>
        <w:t>Chambers of commerce</w:t>
      </w:r>
    </w:p>
    <w:p w14:paraId="09D71EC7" w14:textId="77777777" w:rsidR="00025FCE" w:rsidRPr="00D4307E" w:rsidRDefault="00025FCE" w:rsidP="00025FCE">
      <w:pPr>
        <w:numPr>
          <w:ilvl w:val="0"/>
          <w:numId w:val="68"/>
        </w:numPr>
        <w:spacing w:after="0" w:line="259" w:lineRule="auto"/>
        <w:rPr>
          <w:rFonts w:ascii="Open Sans" w:hAnsi="Open Sans" w:cs="Open Sans"/>
          <w:lang w:val="en-GB"/>
        </w:rPr>
      </w:pPr>
      <w:r w:rsidRPr="00D4307E">
        <w:rPr>
          <w:rFonts w:ascii="Open Sans" w:hAnsi="Open Sans" w:cs="Open Sans"/>
          <w:lang w:val="en-GB"/>
        </w:rPr>
        <w:t>Labour offices / agencies</w:t>
      </w:r>
    </w:p>
    <w:p w14:paraId="1CC4610E" w14:textId="77777777" w:rsidR="00025FCE" w:rsidRPr="00D4307E" w:rsidRDefault="00025FCE" w:rsidP="00025FCE">
      <w:pPr>
        <w:numPr>
          <w:ilvl w:val="0"/>
          <w:numId w:val="68"/>
        </w:numPr>
        <w:spacing w:after="0" w:line="247" w:lineRule="auto"/>
        <w:rPr>
          <w:rFonts w:ascii="Open Sans" w:hAnsi="Open Sans" w:cs="Open Sans"/>
          <w:lang w:val="en-GB"/>
        </w:rPr>
      </w:pPr>
      <w:r w:rsidRPr="00D4307E">
        <w:rPr>
          <w:rFonts w:ascii="Open Sans" w:hAnsi="Open Sans" w:cs="Open Sans"/>
          <w:lang w:val="en-GB"/>
        </w:rPr>
        <w:t>National organizations responsible for transport infrastructure development</w:t>
      </w:r>
    </w:p>
    <w:p w14:paraId="48F9D22F" w14:textId="42EA2C0E" w:rsidR="001F3D0E" w:rsidRPr="00D4307E" w:rsidRDefault="005926CF" w:rsidP="00025FCE">
      <w:pPr>
        <w:numPr>
          <w:ilvl w:val="0"/>
          <w:numId w:val="68"/>
        </w:numPr>
        <w:spacing w:after="0" w:line="247" w:lineRule="auto"/>
        <w:rPr>
          <w:rFonts w:ascii="Open Sans" w:hAnsi="Open Sans" w:cs="Open Sans"/>
          <w:lang w:val="en-GB"/>
        </w:rPr>
      </w:pPr>
      <w:r w:rsidRPr="00D4307E">
        <w:rPr>
          <w:rFonts w:ascii="Open Sans" w:hAnsi="Open Sans" w:cs="Open Sans"/>
          <w:lang w:val="en-GB"/>
        </w:rPr>
        <w:t xml:space="preserve">Non-profit </w:t>
      </w:r>
      <w:r w:rsidR="001F3D0E" w:rsidRPr="00D4307E">
        <w:rPr>
          <w:rFonts w:ascii="Open Sans" w:hAnsi="Open Sans" w:cs="Open Sans"/>
          <w:lang w:val="en-GB"/>
        </w:rPr>
        <w:t>NGOs</w:t>
      </w:r>
    </w:p>
    <w:p w14:paraId="33012FBD" w14:textId="1101B167" w:rsidR="001F3D0E" w:rsidRPr="00D4307E" w:rsidRDefault="001F3D0E" w:rsidP="00025FCE">
      <w:pPr>
        <w:numPr>
          <w:ilvl w:val="0"/>
          <w:numId w:val="68"/>
        </w:numPr>
        <w:spacing w:after="0" w:line="247" w:lineRule="auto"/>
        <w:rPr>
          <w:rFonts w:ascii="Open Sans" w:hAnsi="Open Sans" w:cs="Open Sans"/>
          <w:lang w:val="en-GB"/>
        </w:rPr>
      </w:pPr>
      <w:r w:rsidRPr="00D4307E">
        <w:rPr>
          <w:rFonts w:ascii="Open Sans" w:hAnsi="Open Sans" w:cs="Open Sans"/>
          <w:lang w:val="en-GB"/>
        </w:rPr>
        <w:t>EGTC</w:t>
      </w:r>
    </w:p>
    <w:p w14:paraId="59AE9058" w14:textId="77777777" w:rsidR="00495D5F" w:rsidRDefault="00495D5F" w:rsidP="00495D5F">
      <w:pPr>
        <w:spacing w:after="0" w:line="247" w:lineRule="auto"/>
        <w:ind w:left="720"/>
        <w:rPr>
          <w:rFonts w:ascii="Open Sans" w:hAnsi="Open Sans" w:cs="Open Sans"/>
          <w:lang w:val="en-GB"/>
        </w:rPr>
      </w:pPr>
    </w:p>
    <w:p w14:paraId="67A5245D" w14:textId="77777777" w:rsidR="00874DC4" w:rsidRDefault="00874DC4" w:rsidP="00495D5F">
      <w:pPr>
        <w:spacing w:after="0" w:line="247" w:lineRule="auto"/>
        <w:ind w:left="720"/>
        <w:rPr>
          <w:rFonts w:ascii="Open Sans" w:hAnsi="Open Sans" w:cs="Open Sans"/>
          <w:lang w:val="en-GB"/>
        </w:rPr>
      </w:pPr>
    </w:p>
    <w:p w14:paraId="4570F5D3" w14:textId="77777777" w:rsidR="00874DC4" w:rsidRDefault="00874DC4" w:rsidP="00495D5F">
      <w:pPr>
        <w:spacing w:after="0" w:line="247" w:lineRule="auto"/>
        <w:ind w:left="720"/>
        <w:rPr>
          <w:rFonts w:ascii="Open Sans" w:hAnsi="Open Sans" w:cs="Open Sans"/>
          <w:lang w:val="en-GB"/>
        </w:rPr>
      </w:pPr>
    </w:p>
    <w:p w14:paraId="19938B07" w14:textId="77777777" w:rsidR="00874DC4" w:rsidRDefault="00874DC4" w:rsidP="00495D5F">
      <w:pPr>
        <w:spacing w:after="0" w:line="247" w:lineRule="auto"/>
        <w:ind w:left="720"/>
        <w:rPr>
          <w:rFonts w:ascii="Open Sans" w:hAnsi="Open Sans" w:cs="Open Sans"/>
          <w:lang w:val="en-GB"/>
        </w:rPr>
      </w:pPr>
    </w:p>
    <w:p w14:paraId="4C494A2F" w14:textId="77777777" w:rsidR="00874DC4" w:rsidRPr="00D4307E" w:rsidRDefault="00874DC4" w:rsidP="00495D5F">
      <w:pPr>
        <w:spacing w:after="0" w:line="247" w:lineRule="auto"/>
        <w:ind w:left="720"/>
        <w:rPr>
          <w:rFonts w:ascii="Open Sans" w:hAnsi="Open Sans" w:cs="Open Sans"/>
          <w:lang w:val="en-GB"/>
        </w:rPr>
      </w:pPr>
    </w:p>
    <w:p w14:paraId="0EC012F2" w14:textId="77777777" w:rsidR="00495D5F" w:rsidRPr="00D4307E" w:rsidRDefault="00495D5F" w:rsidP="00495D5F">
      <w:pPr>
        <w:spacing w:after="0" w:line="247" w:lineRule="auto"/>
        <w:ind w:left="720"/>
        <w:rPr>
          <w:rFonts w:ascii="Open Sans" w:hAnsi="Open Sans" w:cs="Open Sans"/>
          <w:lang w:val="en-GB"/>
        </w:rPr>
      </w:pPr>
    </w:p>
    <w:p w14:paraId="7C1E1F77" w14:textId="7042E75C" w:rsidR="003E557E" w:rsidRPr="00D4307E" w:rsidRDefault="00D86CCE" w:rsidP="00FF021A">
      <w:pPr>
        <w:shd w:val="clear" w:color="auto" w:fill="CBBAA1" w:themeFill="accent6" w:themeFillTint="99"/>
        <w:rPr>
          <w:rFonts w:ascii="Open Sans" w:hAnsi="Open Sans" w:cs="Open Sans"/>
          <w:b/>
          <w:lang w:val="en-GB"/>
        </w:rPr>
      </w:pPr>
      <w:r w:rsidRPr="00874DC4">
        <w:rPr>
          <w:rFonts w:ascii="Arial" w:hAnsi="Arial" w:cs="Arial"/>
          <w:b/>
          <w:sz w:val="72"/>
          <w:szCs w:val="72"/>
          <w:lang w:val="en-GB"/>
        </w:rPr>
        <w:t>ʘ</w:t>
      </w:r>
      <w:r w:rsidR="00495D5F" w:rsidRPr="00D4307E">
        <w:rPr>
          <w:rFonts w:ascii="Open Sans" w:hAnsi="Open Sans" w:cs="Open Sans"/>
          <w:b/>
          <w:sz w:val="72"/>
          <w:szCs w:val="72"/>
          <w:lang w:val="en-GB"/>
        </w:rPr>
        <w:t xml:space="preserve"> </w:t>
      </w:r>
      <w:r w:rsidR="003E557E" w:rsidRPr="00D4307E">
        <w:rPr>
          <w:rFonts w:ascii="Open Sans" w:hAnsi="Open Sans" w:cs="Open Sans"/>
          <w:b/>
          <w:lang w:val="en-GB"/>
        </w:rPr>
        <w:t xml:space="preserve">Target groups: </w:t>
      </w:r>
    </w:p>
    <w:p w14:paraId="18E47097" w14:textId="06B93A05" w:rsidR="00495D5F" w:rsidRPr="00D4307E" w:rsidRDefault="001516F7" w:rsidP="00D86CCE">
      <w:pPr>
        <w:jc w:val="both"/>
        <w:rPr>
          <w:rFonts w:ascii="Open Sans" w:hAnsi="Open Sans" w:cs="Open Sans"/>
          <w:b/>
          <w:lang w:val="en-GB"/>
        </w:rPr>
      </w:pPr>
      <w:r w:rsidRPr="00D4307E">
        <w:rPr>
          <w:rFonts w:ascii="Open Sans" w:hAnsi="Open Sans" w:cs="Open Sans"/>
          <w:lang w:val="en-GB"/>
        </w:rPr>
        <w:t>People living in micro-regions (HU) and ATUs</w:t>
      </w:r>
      <w:r w:rsidRPr="00D4307E">
        <w:rPr>
          <w:rStyle w:val="FootnoteReference"/>
          <w:rFonts w:ascii="Open Sans" w:hAnsi="Open Sans" w:cs="Open Sans"/>
          <w:lang w:val="en-GB"/>
        </w:rPr>
        <w:footnoteReference w:id="1"/>
      </w:r>
      <w:r w:rsidRPr="00D4307E">
        <w:rPr>
          <w:rFonts w:ascii="Open Sans" w:hAnsi="Open Sans" w:cs="Open Sans"/>
          <w:lang w:val="en-GB"/>
        </w:rPr>
        <w:t xml:space="preserve"> or groups of ATUs (RO) in the proximity of the state border</w:t>
      </w:r>
      <w:r w:rsidRPr="00D4307E">
        <w:rPr>
          <w:rFonts w:ascii="Open Sans" w:hAnsi="Open Sans" w:cs="Open Sans"/>
          <w:b/>
          <w:lang w:val="en-GB"/>
        </w:rPr>
        <w:t>.</w:t>
      </w:r>
    </w:p>
    <w:p w14:paraId="317EB1B6" w14:textId="77777777" w:rsidR="00116AF9" w:rsidRPr="00D4307E" w:rsidRDefault="00116AF9" w:rsidP="00D86CCE">
      <w:pPr>
        <w:jc w:val="both"/>
        <w:rPr>
          <w:rFonts w:ascii="Open Sans" w:hAnsi="Open Sans" w:cs="Open Sans"/>
          <w:lang w:val="en-GB"/>
        </w:rPr>
      </w:pPr>
    </w:p>
    <w:p w14:paraId="4452CF8E" w14:textId="24B16C03" w:rsidR="008D2A54" w:rsidRPr="00D4307E" w:rsidRDefault="007F43EC" w:rsidP="00FF021A">
      <w:pPr>
        <w:shd w:val="clear" w:color="auto" w:fill="CBBAA1" w:themeFill="accent6" w:themeFillTint="99"/>
        <w:jc w:val="both"/>
        <w:rPr>
          <w:rFonts w:ascii="Open Sans" w:hAnsi="Open Sans" w:cs="Open Sans"/>
          <w:b/>
          <w:sz w:val="24"/>
          <w:szCs w:val="24"/>
          <w:lang w:val="en-GB"/>
        </w:rPr>
      </w:pPr>
      <w:r w:rsidRPr="00D4307E">
        <w:rPr>
          <w:rFonts w:ascii="Open Sans" w:hAnsi="Open Sans" w:cs="Open Sans"/>
          <w:b/>
          <w:sz w:val="72"/>
          <w:szCs w:val="72"/>
          <w:lang w:val="en-GB"/>
        </w:rPr>
        <w:sym w:font="Wingdings" w:char="F03A"/>
      </w:r>
      <w:r w:rsidR="008D2A54" w:rsidRPr="00D4307E">
        <w:rPr>
          <w:rFonts w:ascii="Open Sans" w:hAnsi="Open Sans" w:cs="Open Sans"/>
          <w:b/>
          <w:sz w:val="24"/>
          <w:szCs w:val="24"/>
          <w:lang w:val="en-GB"/>
        </w:rPr>
        <w:t xml:space="preserve">Methodology for defining and calculating the </w:t>
      </w:r>
      <w:r w:rsidR="00381DED" w:rsidRPr="00D4307E">
        <w:rPr>
          <w:rFonts w:ascii="Open Sans" w:hAnsi="Open Sans" w:cs="Open Sans"/>
          <w:b/>
          <w:sz w:val="24"/>
          <w:szCs w:val="24"/>
          <w:lang w:val="en-GB"/>
        </w:rPr>
        <w:t>OUTPUT</w:t>
      </w:r>
      <w:r w:rsidR="008D2A54" w:rsidRPr="00D4307E">
        <w:rPr>
          <w:rFonts w:ascii="Open Sans" w:hAnsi="Open Sans" w:cs="Open Sans"/>
          <w:b/>
          <w:sz w:val="24"/>
          <w:szCs w:val="24"/>
          <w:lang w:val="en-GB"/>
        </w:rPr>
        <w:t xml:space="preserve"> indicators:</w:t>
      </w:r>
    </w:p>
    <w:p w14:paraId="2613D684" w14:textId="77777777" w:rsidR="00E26023" w:rsidRPr="00D4307E" w:rsidRDefault="00E26023" w:rsidP="00E26023">
      <w:pPr>
        <w:jc w:val="both"/>
        <w:rPr>
          <w:rFonts w:ascii="Open Sans" w:hAnsi="Open Sans" w:cs="Open Sans"/>
          <w:b/>
          <w:lang w:val="en-GB"/>
        </w:rPr>
      </w:pPr>
      <w:r w:rsidRPr="00D4307E">
        <w:rPr>
          <w:rFonts w:ascii="Open Sans" w:hAnsi="Open Sans" w:cs="Open Sans"/>
          <w:b/>
          <w:lang w:val="en-GB"/>
        </w:rPr>
        <w:t>Summary of key information</w:t>
      </w:r>
    </w:p>
    <w:p w14:paraId="0B175841" w14:textId="2CA8F658" w:rsidR="00DC720D" w:rsidRPr="00D4307E" w:rsidRDefault="00DC720D" w:rsidP="00DC720D">
      <w:pPr>
        <w:jc w:val="center"/>
        <w:rPr>
          <w:rFonts w:ascii="Open Sans" w:eastAsia="Calibri" w:hAnsi="Open Sans" w:cs="Open Sans"/>
          <w:b/>
          <w:lang w:val="en-GB"/>
        </w:rPr>
      </w:pPr>
      <w:r w:rsidRPr="00D4307E">
        <w:rPr>
          <w:rFonts w:ascii="Open Sans" w:eastAsia="Calibri" w:hAnsi="Open Sans" w:cs="Open Sans"/>
          <w:b/>
          <w:lang w:val="en-GB"/>
        </w:rPr>
        <w:t xml:space="preserve">The indicative number of </w:t>
      </w:r>
      <w:r w:rsidR="005926CF" w:rsidRPr="00D4307E">
        <w:rPr>
          <w:rFonts w:ascii="Open Sans" w:eastAsia="Calibri" w:hAnsi="Open Sans" w:cs="Open Sans"/>
          <w:b/>
          <w:lang w:val="en-GB"/>
        </w:rPr>
        <w:t xml:space="preserve">flagship </w:t>
      </w:r>
      <w:r w:rsidRPr="00D4307E">
        <w:rPr>
          <w:rFonts w:ascii="Open Sans" w:eastAsia="Calibri" w:hAnsi="Open Sans" w:cs="Open Sans"/>
          <w:b/>
          <w:lang w:val="en-GB"/>
        </w:rPr>
        <w:t>projects that may be supported under this Ip is 3!</w:t>
      </w:r>
    </w:p>
    <w:tbl>
      <w:tblPr>
        <w:tblStyle w:val="LightGrid-Accent1"/>
        <w:tblW w:w="0" w:type="auto"/>
        <w:jc w:val="center"/>
        <w:shd w:val="clear" w:color="auto" w:fill="BBC3C9" w:themeFill="text2" w:themeFillTint="66"/>
        <w:tblLayout w:type="fixed"/>
        <w:tblLook w:val="0000" w:firstRow="0" w:lastRow="0" w:firstColumn="0" w:lastColumn="0" w:noHBand="0" w:noVBand="0"/>
      </w:tblPr>
      <w:tblGrid>
        <w:gridCol w:w="4376"/>
        <w:gridCol w:w="4607"/>
      </w:tblGrid>
      <w:tr w:rsidR="00E26023" w:rsidRPr="00874DC4" w14:paraId="5BA1AB92" w14:textId="77777777" w:rsidTr="00694E6F">
        <w:trPr>
          <w:cnfStyle w:val="000000100000" w:firstRow="0" w:lastRow="0" w:firstColumn="0" w:lastColumn="0" w:oddVBand="0" w:evenVBand="0" w:oddHBand="1" w:evenHBand="0"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376" w:type="dxa"/>
            <w:tcBorders>
              <w:top w:val="single" w:sz="4" w:space="0" w:color="auto"/>
              <w:left w:val="single" w:sz="4" w:space="0" w:color="auto"/>
              <w:bottom w:val="single" w:sz="4" w:space="0" w:color="auto"/>
              <w:right w:val="single" w:sz="4" w:space="0" w:color="auto"/>
            </w:tcBorders>
            <w:shd w:val="clear" w:color="auto" w:fill="DCD1C0" w:themeFill="accent6" w:themeFillTint="66"/>
          </w:tcPr>
          <w:p w14:paraId="62195EE4" w14:textId="77777777" w:rsidR="00E26023" w:rsidRPr="00D4307E" w:rsidRDefault="00E26023" w:rsidP="0079079D">
            <w:pPr>
              <w:autoSpaceDE w:val="0"/>
              <w:autoSpaceDN w:val="0"/>
              <w:adjustRightInd w:val="0"/>
              <w:spacing w:after="120" w:line="276" w:lineRule="auto"/>
              <w:rPr>
                <w:rFonts w:ascii="Open Sans" w:hAnsi="Open Sans" w:cs="Open Sans"/>
                <w:color w:val="000000"/>
                <w:lang w:val="en-GB"/>
              </w:rPr>
            </w:pPr>
            <w:r w:rsidRPr="00D4307E">
              <w:rPr>
                <w:rFonts w:ascii="Open Sans" w:hAnsi="Open Sans" w:cs="Open Sans"/>
                <w:iCs/>
                <w:color w:val="000000"/>
                <w:lang w:val="en-GB"/>
              </w:rPr>
              <w:t xml:space="preserve">ERDF funds allocated </w:t>
            </w:r>
          </w:p>
        </w:tc>
        <w:tc>
          <w:tcPr>
            <w:tcW w:w="4607" w:type="dxa"/>
            <w:tcBorders>
              <w:top w:val="single" w:sz="4" w:space="0" w:color="auto"/>
              <w:left w:val="single" w:sz="4" w:space="0" w:color="auto"/>
              <w:bottom w:val="single" w:sz="4" w:space="0" w:color="auto"/>
              <w:right w:val="single" w:sz="4" w:space="0" w:color="auto"/>
            </w:tcBorders>
            <w:shd w:val="clear" w:color="auto" w:fill="DCD1C0" w:themeFill="accent6" w:themeFillTint="66"/>
          </w:tcPr>
          <w:p w14:paraId="025A41F9" w14:textId="041F71EC" w:rsidR="00E26023" w:rsidRPr="00D4307E" w:rsidRDefault="00EE0649" w:rsidP="00391139">
            <w:pPr>
              <w:pStyle w:val="Default"/>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2"/>
                <w:szCs w:val="22"/>
                <w:lang w:val="en-GB"/>
              </w:rPr>
            </w:pPr>
            <w:r w:rsidRPr="00D4307E">
              <w:rPr>
                <w:rFonts w:ascii="Open Sans" w:hAnsi="Open Sans" w:cs="Open Sans"/>
                <w:sz w:val="22"/>
                <w:szCs w:val="22"/>
                <w:lang w:val="en-GB"/>
              </w:rPr>
              <w:t>EUR 46</w:t>
            </w:r>
            <w:r w:rsidR="00391139" w:rsidRPr="00D4307E">
              <w:rPr>
                <w:rFonts w:ascii="Open Sans" w:hAnsi="Open Sans" w:cs="Open Sans"/>
                <w:sz w:val="22"/>
                <w:szCs w:val="22"/>
                <w:lang w:val="en-GB"/>
              </w:rPr>
              <w:t>,</w:t>
            </w:r>
            <w:r w:rsidRPr="00D4307E">
              <w:rPr>
                <w:rFonts w:ascii="Open Sans" w:hAnsi="Open Sans" w:cs="Open Sans"/>
                <w:sz w:val="22"/>
                <w:szCs w:val="22"/>
                <w:lang w:val="en-GB"/>
              </w:rPr>
              <w:t>810</w:t>
            </w:r>
            <w:r w:rsidR="00391139" w:rsidRPr="00D4307E">
              <w:rPr>
                <w:rFonts w:ascii="Open Sans" w:hAnsi="Open Sans" w:cs="Open Sans"/>
                <w:sz w:val="22"/>
                <w:szCs w:val="22"/>
                <w:lang w:val="en-GB"/>
              </w:rPr>
              <w:t>,</w:t>
            </w:r>
            <w:r w:rsidRPr="00D4307E">
              <w:rPr>
                <w:rFonts w:ascii="Open Sans" w:hAnsi="Open Sans" w:cs="Open Sans"/>
                <w:sz w:val="22"/>
                <w:szCs w:val="22"/>
                <w:lang w:val="en-GB"/>
              </w:rPr>
              <w:t>155</w:t>
            </w:r>
            <w:r w:rsidR="00391139" w:rsidRPr="00D4307E">
              <w:rPr>
                <w:rFonts w:ascii="Open Sans" w:hAnsi="Open Sans" w:cs="Open Sans"/>
                <w:sz w:val="22"/>
                <w:szCs w:val="22"/>
                <w:lang w:val="en-GB"/>
              </w:rPr>
              <w:t>.00</w:t>
            </w:r>
          </w:p>
        </w:tc>
      </w:tr>
      <w:tr w:rsidR="00E26023" w:rsidRPr="00874DC4" w14:paraId="16D40D5C" w14:textId="77777777" w:rsidTr="00694E6F">
        <w:trPr>
          <w:cnfStyle w:val="000000010000" w:firstRow="0" w:lastRow="0" w:firstColumn="0" w:lastColumn="0" w:oddVBand="0" w:evenVBand="0" w:oddHBand="0" w:evenHBand="1"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376" w:type="dxa"/>
            <w:tcBorders>
              <w:top w:val="single" w:sz="4" w:space="0" w:color="auto"/>
              <w:left w:val="single" w:sz="4" w:space="0" w:color="auto"/>
              <w:bottom w:val="single" w:sz="4" w:space="0" w:color="auto"/>
              <w:right w:val="single" w:sz="4" w:space="0" w:color="auto"/>
            </w:tcBorders>
            <w:shd w:val="clear" w:color="auto" w:fill="DCD1C0" w:themeFill="accent6" w:themeFillTint="66"/>
          </w:tcPr>
          <w:p w14:paraId="643FF022" w14:textId="77777777" w:rsidR="00E26023" w:rsidRPr="00D4307E" w:rsidRDefault="00E26023" w:rsidP="0079079D">
            <w:pPr>
              <w:autoSpaceDE w:val="0"/>
              <w:autoSpaceDN w:val="0"/>
              <w:adjustRightInd w:val="0"/>
              <w:spacing w:after="120" w:line="276" w:lineRule="auto"/>
              <w:rPr>
                <w:rFonts w:ascii="Open Sans" w:hAnsi="Open Sans" w:cs="Open Sans"/>
                <w:color w:val="000000"/>
                <w:lang w:val="en-GB"/>
              </w:rPr>
            </w:pPr>
            <w:r w:rsidRPr="00D4307E">
              <w:rPr>
                <w:rFonts w:ascii="Open Sans" w:hAnsi="Open Sans" w:cs="Open Sans"/>
                <w:iCs/>
                <w:color w:val="000000"/>
                <w:lang w:val="en-GB"/>
              </w:rPr>
              <w:t xml:space="preserve">Total available budget </w:t>
            </w:r>
          </w:p>
        </w:tc>
        <w:tc>
          <w:tcPr>
            <w:tcW w:w="4607" w:type="dxa"/>
            <w:tcBorders>
              <w:top w:val="single" w:sz="4" w:space="0" w:color="auto"/>
              <w:left w:val="single" w:sz="4" w:space="0" w:color="auto"/>
              <w:bottom w:val="single" w:sz="4" w:space="0" w:color="auto"/>
              <w:right w:val="single" w:sz="4" w:space="0" w:color="auto"/>
            </w:tcBorders>
            <w:shd w:val="clear" w:color="auto" w:fill="DCD1C0" w:themeFill="accent6" w:themeFillTint="66"/>
          </w:tcPr>
          <w:p w14:paraId="03EC2F02" w14:textId="37F78A27" w:rsidR="00E26023" w:rsidRPr="00D4307E" w:rsidRDefault="00E26023" w:rsidP="00391139">
            <w:pPr>
              <w:autoSpaceDE w:val="0"/>
              <w:autoSpaceDN w:val="0"/>
              <w:adjustRightInd w:val="0"/>
              <w:spacing w:after="120" w:line="276" w:lineRule="auto"/>
              <w:jc w:val="center"/>
              <w:cnfStyle w:val="000000010000" w:firstRow="0" w:lastRow="0" w:firstColumn="0" w:lastColumn="0" w:oddVBand="0" w:evenVBand="0" w:oddHBand="0" w:evenHBand="1" w:firstRowFirstColumn="0" w:firstRowLastColumn="0" w:lastRowFirstColumn="0" w:lastRowLastColumn="0"/>
              <w:rPr>
                <w:rFonts w:ascii="Open Sans" w:hAnsi="Open Sans" w:cs="Open Sans"/>
                <w:color w:val="000000"/>
                <w:lang w:val="en-GB"/>
              </w:rPr>
            </w:pPr>
            <w:r w:rsidRPr="00D4307E">
              <w:rPr>
                <w:rFonts w:ascii="Open Sans" w:hAnsi="Open Sans" w:cs="Open Sans"/>
                <w:color w:val="000000"/>
                <w:lang w:val="en-GB"/>
              </w:rPr>
              <w:t xml:space="preserve">EUR </w:t>
            </w:r>
            <w:r w:rsidR="00EE0649" w:rsidRPr="00D4307E">
              <w:rPr>
                <w:rFonts w:ascii="Open Sans" w:hAnsi="Open Sans" w:cs="Open Sans"/>
                <w:lang w:val="en-GB"/>
              </w:rPr>
              <w:t>55</w:t>
            </w:r>
            <w:r w:rsidR="00391139" w:rsidRPr="00D4307E">
              <w:rPr>
                <w:rFonts w:ascii="Open Sans" w:hAnsi="Open Sans" w:cs="Open Sans"/>
                <w:lang w:val="en-GB"/>
              </w:rPr>
              <w:t>,</w:t>
            </w:r>
            <w:r w:rsidR="00EE0649" w:rsidRPr="00D4307E">
              <w:rPr>
                <w:rFonts w:ascii="Open Sans" w:hAnsi="Open Sans" w:cs="Open Sans"/>
                <w:lang w:val="en-GB"/>
              </w:rPr>
              <w:t>070</w:t>
            </w:r>
            <w:r w:rsidR="00391139" w:rsidRPr="00D4307E">
              <w:rPr>
                <w:rFonts w:ascii="Open Sans" w:hAnsi="Open Sans" w:cs="Open Sans"/>
                <w:lang w:val="en-GB"/>
              </w:rPr>
              <w:t>,</w:t>
            </w:r>
            <w:r w:rsidR="00EE0649" w:rsidRPr="00D4307E">
              <w:rPr>
                <w:rFonts w:ascii="Open Sans" w:hAnsi="Open Sans" w:cs="Open Sans"/>
                <w:lang w:val="en-GB"/>
              </w:rPr>
              <w:t>771</w:t>
            </w:r>
            <w:r w:rsidR="00391139" w:rsidRPr="00D4307E">
              <w:rPr>
                <w:rFonts w:ascii="Open Sans" w:hAnsi="Open Sans" w:cs="Open Sans"/>
                <w:lang w:val="en-GB"/>
              </w:rPr>
              <w:t>.00</w:t>
            </w:r>
          </w:p>
        </w:tc>
      </w:tr>
      <w:tr w:rsidR="00E26023" w:rsidRPr="00874DC4" w14:paraId="39EDCBCD" w14:textId="77777777" w:rsidTr="00694E6F">
        <w:trPr>
          <w:cnfStyle w:val="000000100000" w:firstRow="0" w:lastRow="0" w:firstColumn="0" w:lastColumn="0" w:oddVBand="0" w:evenVBand="0" w:oddHBand="1" w:evenHBand="0"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376" w:type="dxa"/>
            <w:tcBorders>
              <w:top w:val="single" w:sz="4" w:space="0" w:color="auto"/>
              <w:left w:val="single" w:sz="4" w:space="0" w:color="auto"/>
              <w:bottom w:val="single" w:sz="4" w:space="0" w:color="auto"/>
              <w:right w:val="single" w:sz="4" w:space="0" w:color="auto"/>
            </w:tcBorders>
            <w:shd w:val="clear" w:color="auto" w:fill="DCD1C0" w:themeFill="accent6" w:themeFillTint="66"/>
          </w:tcPr>
          <w:p w14:paraId="60114DA6" w14:textId="77777777" w:rsidR="00E26023" w:rsidRPr="00D4307E" w:rsidRDefault="00E26023" w:rsidP="0079079D">
            <w:pPr>
              <w:autoSpaceDE w:val="0"/>
              <w:autoSpaceDN w:val="0"/>
              <w:adjustRightInd w:val="0"/>
              <w:spacing w:after="120" w:line="276" w:lineRule="auto"/>
              <w:rPr>
                <w:rFonts w:ascii="Open Sans" w:hAnsi="Open Sans" w:cs="Open Sans"/>
                <w:color w:val="000000"/>
                <w:lang w:val="en-GB"/>
              </w:rPr>
            </w:pPr>
            <w:r w:rsidRPr="00D4307E">
              <w:rPr>
                <w:rFonts w:ascii="Open Sans" w:hAnsi="Open Sans" w:cs="Open Sans"/>
                <w:bCs/>
                <w:color w:val="000000"/>
                <w:lang w:val="en-GB"/>
              </w:rPr>
              <w:t xml:space="preserve">Indicators </w:t>
            </w:r>
          </w:p>
        </w:tc>
        <w:tc>
          <w:tcPr>
            <w:tcW w:w="4607" w:type="dxa"/>
            <w:tcBorders>
              <w:top w:val="single" w:sz="4" w:space="0" w:color="auto"/>
              <w:left w:val="single" w:sz="4" w:space="0" w:color="auto"/>
              <w:bottom w:val="single" w:sz="4" w:space="0" w:color="auto"/>
              <w:right w:val="single" w:sz="4" w:space="0" w:color="auto"/>
            </w:tcBorders>
            <w:shd w:val="clear" w:color="auto" w:fill="DCD1C0" w:themeFill="accent6" w:themeFillTint="66"/>
          </w:tcPr>
          <w:p w14:paraId="12DCC13C" w14:textId="73C252CB" w:rsidR="00E26023" w:rsidRPr="00D4307E" w:rsidRDefault="00E26023" w:rsidP="00F310A0">
            <w:pPr>
              <w:autoSpaceDE w:val="0"/>
              <w:autoSpaceDN w:val="0"/>
              <w:adjustRightInd w:val="0"/>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color w:val="000000"/>
                <w:lang w:val="en-GB"/>
              </w:rPr>
            </w:pPr>
            <w:r w:rsidRPr="00D4307E">
              <w:rPr>
                <w:rFonts w:ascii="Open Sans" w:hAnsi="Open Sans" w:cs="Open Sans"/>
                <w:bCs/>
                <w:color w:val="000000"/>
                <w:lang w:val="en-GB"/>
              </w:rPr>
              <w:t>Assumed proportion of allocation</w:t>
            </w:r>
          </w:p>
        </w:tc>
      </w:tr>
      <w:tr w:rsidR="00EE0649" w:rsidRPr="00874DC4" w14:paraId="1FD49C47" w14:textId="77777777" w:rsidTr="00694E6F">
        <w:trPr>
          <w:cnfStyle w:val="000000010000" w:firstRow="0" w:lastRow="0" w:firstColumn="0" w:lastColumn="0" w:oddVBand="0" w:evenVBand="0" w:oddHBand="0" w:evenHBand="1" w:firstRowFirstColumn="0" w:firstRowLastColumn="0" w:lastRowFirstColumn="0" w:lastRowLastColumn="0"/>
          <w:trHeight w:val="211"/>
          <w:jc w:val="center"/>
        </w:trPr>
        <w:tc>
          <w:tcPr>
            <w:cnfStyle w:val="000010000000" w:firstRow="0" w:lastRow="0" w:firstColumn="0" w:lastColumn="0" w:oddVBand="1" w:evenVBand="0" w:oddHBand="0" w:evenHBand="0" w:firstRowFirstColumn="0" w:firstRowLastColumn="0" w:lastRowFirstColumn="0" w:lastRowLastColumn="0"/>
            <w:tcW w:w="4376" w:type="dxa"/>
            <w:tcBorders>
              <w:top w:val="single" w:sz="4" w:space="0" w:color="auto"/>
              <w:left w:val="single" w:sz="4" w:space="0" w:color="auto"/>
              <w:bottom w:val="single" w:sz="4" w:space="0" w:color="auto"/>
              <w:right w:val="single" w:sz="4" w:space="0" w:color="auto"/>
            </w:tcBorders>
            <w:shd w:val="clear" w:color="auto" w:fill="DCD1C0" w:themeFill="accent6" w:themeFillTint="66"/>
          </w:tcPr>
          <w:p w14:paraId="72B0495E" w14:textId="63E7BF2D" w:rsidR="00EE0649" w:rsidRPr="00D4307E" w:rsidRDefault="00EE0649" w:rsidP="0079079D">
            <w:pPr>
              <w:autoSpaceDE w:val="0"/>
              <w:autoSpaceDN w:val="0"/>
              <w:adjustRightInd w:val="0"/>
              <w:spacing w:after="120" w:line="276" w:lineRule="auto"/>
              <w:rPr>
                <w:rFonts w:ascii="Open Sans" w:hAnsi="Open Sans" w:cs="Open Sans"/>
                <w:color w:val="000000"/>
                <w:lang w:val="en-GB"/>
              </w:rPr>
            </w:pPr>
            <w:r w:rsidRPr="00D4307E">
              <w:rPr>
                <w:rFonts w:ascii="Open Sans" w:hAnsi="Open Sans" w:cs="Open Sans"/>
                <w:lang w:val="en-GB"/>
              </w:rPr>
              <w:t xml:space="preserve">8/b 1 </w:t>
            </w:r>
          </w:p>
        </w:tc>
        <w:tc>
          <w:tcPr>
            <w:tcW w:w="4607" w:type="dxa"/>
            <w:tcBorders>
              <w:top w:val="single" w:sz="4" w:space="0" w:color="auto"/>
              <w:left w:val="single" w:sz="4" w:space="0" w:color="auto"/>
              <w:bottom w:val="single" w:sz="4" w:space="0" w:color="auto"/>
              <w:right w:val="single" w:sz="4" w:space="0" w:color="auto"/>
            </w:tcBorders>
            <w:shd w:val="clear" w:color="auto" w:fill="DCD1C0" w:themeFill="accent6" w:themeFillTint="66"/>
          </w:tcPr>
          <w:p w14:paraId="6FFB8971" w14:textId="39A44077" w:rsidR="00EE0649" w:rsidRPr="00D4307E" w:rsidRDefault="00FF021A" w:rsidP="00F310A0">
            <w:pPr>
              <w:autoSpaceDE w:val="0"/>
              <w:autoSpaceDN w:val="0"/>
              <w:adjustRightInd w:val="0"/>
              <w:spacing w:after="120" w:line="276" w:lineRule="auto"/>
              <w:jc w:val="center"/>
              <w:cnfStyle w:val="000000010000" w:firstRow="0" w:lastRow="0" w:firstColumn="0" w:lastColumn="0" w:oddVBand="0" w:evenVBand="0" w:oddHBand="0" w:evenHBand="1" w:firstRowFirstColumn="0" w:firstRowLastColumn="0" w:lastRowFirstColumn="0" w:lastRowLastColumn="0"/>
              <w:rPr>
                <w:rFonts w:ascii="Open Sans" w:hAnsi="Open Sans" w:cs="Open Sans"/>
                <w:color w:val="000000"/>
                <w:lang w:val="en-GB"/>
              </w:rPr>
            </w:pPr>
            <w:r w:rsidRPr="00D4307E">
              <w:rPr>
                <w:rFonts w:ascii="Open Sans" w:hAnsi="Open Sans" w:cs="Open Sans"/>
                <w:lang w:val="en-GB"/>
              </w:rPr>
              <w:t xml:space="preserve"> 85% of </w:t>
            </w:r>
            <w:r w:rsidR="00EE0649" w:rsidRPr="00D4307E">
              <w:rPr>
                <w:rFonts w:ascii="Open Sans" w:hAnsi="Open Sans" w:cs="Open Sans"/>
                <w:lang w:val="en-GB"/>
              </w:rPr>
              <w:t>total allocation</w:t>
            </w:r>
          </w:p>
        </w:tc>
      </w:tr>
      <w:tr w:rsidR="00E100EC" w:rsidRPr="00874DC4" w14:paraId="102578CB" w14:textId="77777777" w:rsidTr="00EE0649">
        <w:trPr>
          <w:cnfStyle w:val="000000100000" w:firstRow="0" w:lastRow="0" w:firstColumn="0" w:lastColumn="0" w:oddVBand="0" w:evenVBand="0" w:oddHBand="1" w:evenHBand="0"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376" w:type="dxa"/>
            <w:tcBorders>
              <w:top w:val="single" w:sz="4" w:space="0" w:color="auto"/>
              <w:left w:val="nil"/>
              <w:bottom w:val="nil"/>
              <w:right w:val="nil"/>
            </w:tcBorders>
            <w:shd w:val="clear" w:color="auto" w:fill="FFE58B" w:themeFill="accent3" w:themeFillTint="66"/>
          </w:tcPr>
          <w:p w14:paraId="353E7692" w14:textId="148E2CD6" w:rsidR="00E100EC" w:rsidRPr="00D4307E" w:rsidRDefault="00080B69" w:rsidP="0079079D">
            <w:pPr>
              <w:autoSpaceDE w:val="0"/>
              <w:autoSpaceDN w:val="0"/>
              <w:adjustRightInd w:val="0"/>
              <w:spacing w:after="120" w:line="276" w:lineRule="auto"/>
              <w:rPr>
                <w:rFonts w:ascii="Open Sans" w:hAnsi="Open Sans" w:cs="Open Sans"/>
                <w:color w:val="000000"/>
                <w:lang w:val="en-GB"/>
              </w:rPr>
            </w:pPr>
            <w:r w:rsidRPr="00D4307E">
              <w:rPr>
                <w:rFonts w:ascii="Open Sans" w:hAnsi="Open Sans" w:cs="Open Sans"/>
                <w:color w:val="000000"/>
                <w:lang w:val="en-GB"/>
              </w:rPr>
              <w:t>Categories of intervention:</w:t>
            </w:r>
          </w:p>
        </w:tc>
        <w:tc>
          <w:tcPr>
            <w:tcW w:w="4607" w:type="dxa"/>
            <w:tcBorders>
              <w:top w:val="single" w:sz="4" w:space="0" w:color="auto"/>
              <w:left w:val="nil"/>
              <w:bottom w:val="nil"/>
              <w:right w:val="nil"/>
            </w:tcBorders>
            <w:shd w:val="clear" w:color="auto" w:fill="FFE58B" w:themeFill="accent3" w:themeFillTint="66"/>
          </w:tcPr>
          <w:p w14:paraId="38578210" w14:textId="77777777" w:rsidR="00E100EC" w:rsidRPr="00D4307E" w:rsidRDefault="00E100EC" w:rsidP="00F310A0">
            <w:pPr>
              <w:autoSpaceDE w:val="0"/>
              <w:autoSpaceDN w:val="0"/>
              <w:adjustRightInd w:val="0"/>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color w:val="000000"/>
                <w:lang w:val="en-GB"/>
              </w:rPr>
            </w:pPr>
          </w:p>
        </w:tc>
      </w:tr>
    </w:tbl>
    <w:tbl>
      <w:tblPr>
        <w:tblStyle w:val="LightList-Accent1"/>
        <w:tblW w:w="89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2427"/>
      </w:tblGrid>
      <w:tr w:rsidR="00F310A0" w:rsidRPr="00874DC4" w14:paraId="46326528" w14:textId="77777777" w:rsidTr="00D430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1" w:type="dxa"/>
            <w:shd w:val="clear" w:color="auto" w:fill="DCD1C0" w:themeFill="accent6" w:themeFillTint="66"/>
          </w:tcPr>
          <w:p w14:paraId="537EDB51" w14:textId="3A230711" w:rsidR="00E26023" w:rsidRPr="00D4307E" w:rsidRDefault="00E26023" w:rsidP="00AF2F6F">
            <w:pPr>
              <w:spacing w:after="120" w:line="276" w:lineRule="auto"/>
              <w:jc w:val="center"/>
              <w:rPr>
                <w:rFonts w:ascii="Open Sans" w:hAnsi="Open Sans" w:cs="Open Sans"/>
                <w:color w:val="000000" w:themeColor="text1"/>
                <w:lang w:val="en-GB"/>
              </w:rPr>
            </w:pPr>
            <w:r w:rsidRPr="00D4307E">
              <w:rPr>
                <w:rFonts w:ascii="Open Sans" w:hAnsi="Open Sans" w:cs="Open Sans"/>
                <w:color w:val="000000" w:themeColor="text1"/>
                <w:lang w:val="en-GB"/>
              </w:rPr>
              <w:t>Code</w:t>
            </w:r>
          </w:p>
        </w:tc>
        <w:tc>
          <w:tcPr>
            <w:tcW w:w="2427" w:type="dxa"/>
            <w:shd w:val="clear" w:color="auto" w:fill="DCD1C0" w:themeFill="accent6" w:themeFillTint="66"/>
          </w:tcPr>
          <w:p w14:paraId="44B09AE0" w14:textId="77777777" w:rsidR="00E26023" w:rsidRPr="00D4307E" w:rsidRDefault="00E26023" w:rsidP="00F310A0">
            <w:pPr>
              <w:spacing w:after="120" w:line="276" w:lineRule="auto"/>
              <w:jc w:val="center"/>
              <w:cnfStyle w:val="100000000000" w:firstRow="1" w:lastRow="0" w:firstColumn="0" w:lastColumn="0" w:oddVBand="0" w:evenVBand="0" w:oddHBand="0" w:evenHBand="0" w:firstRowFirstColumn="0" w:firstRowLastColumn="0" w:lastRowFirstColumn="0" w:lastRowLastColumn="0"/>
              <w:rPr>
                <w:rFonts w:ascii="Open Sans" w:hAnsi="Open Sans" w:cs="Open Sans"/>
                <w:color w:val="000000" w:themeColor="text1"/>
                <w:lang w:val="en-GB"/>
              </w:rPr>
            </w:pPr>
            <w:r w:rsidRPr="00D4307E">
              <w:rPr>
                <w:rFonts w:ascii="Open Sans" w:hAnsi="Open Sans" w:cs="Open Sans"/>
                <w:color w:val="000000" w:themeColor="text1"/>
                <w:lang w:val="en-GB"/>
              </w:rPr>
              <w:t>Amount (€)</w:t>
            </w:r>
          </w:p>
        </w:tc>
      </w:tr>
      <w:tr w:rsidR="00F82B5E" w:rsidRPr="00874DC4" w14:paraId="53EA3B2B" w14:textId="77777777" w:rsidTr="00D4307E">
        <w:trPr>
          <w:cnfStyle w:val="000000100000" w:firstRow="0" w:lastRow="0" w:firstColumn="0" w:lastColumn="0" w:oddVBand="0" w:evenVBand="0" w:oddHBand="1" w:evenHBand="0"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6521" w:type="dxa"/>
            <w:tcBorders>
              <w:top w:val="none" w:sz="0" w:space="0" w:color="auto"/>
              <w:left w:val="none" w:sz="0" w:space="0" w:color="auto"/>
              <w:bottom w:val="none" w:sz="0" w:space="0" w:color="auto"/>
            </w:tcBorders>
            <w:shd w:val="clear" w:color="auto" w:fill="FFE58B" w:themeFill="accent3" w:themeFillTint="66"/>
            <w:vAlign w:val="center"/>
          </w:tcPr>
          <w:p w14:paraId="165F8AF2" w14:textId="6DD0A20E" w:rsidR="00F82B5E" w:rsidRPr="00D4307E" w:rsidRDefault="00F82B5E" w:rsidP="0079079D">
            <w:pPr>
              <w:spacing w:after="120" w:line="276" w:lineRule="auto"/>
              <w:jc w:val="both"/>
              <w:rPr>
                <w:rFonts w:ascii="Open Sans" w:hAnsi="Open Sans" w:cs="Open Sans"/>
                <w:b w:val="0"/>
                <w:lang w:val="en-GB"/>
              </w:rPr>
            </w:pPr>
            <w:r w:rsidRPr="00D4307E">
              <w:rPr>
                <w:rFonts w:ascii="Open Sans" w:hAnsi="Open Sans" w:cs="Open Sans"/>
                <w:lang w:val="en-GB"/>
              </w:rPr>
              <w:t>102. Access to employment for job-seekers and inactive people, including the long-term unemployed and people far from the labour market, also through local employment initiatives and support for labour mobility</w:t>
            </w:r>
          </w:p>
        </w:tc>
        <w:tc>
          <w:tcPr>
            <w:tcW w:w="2427" w:type="dxa"/>
            <w:tcBorders>
              <w:top w:val="none" w:sz="0" w:space="0" w:color="auto"/>
              <w:bottom w:val="none" w:sz="0" w:space="0" w:color="auto"/>
              <w:right w:val="none" w:sz="0" w:space="0" w:color="auto"/>
            </w:tcBorders>
            <w:shd w:val="clear" w:color="auto" w:fill="FFE58B" w:themeFill="accent3" w:themeFillTint="66"/>
          </w:tcPr>
          <w:p w14:paraId="6A623077" w14:textId="2EB70323" w:rsidR="00F82B5E" w:rsidRPr="00D4307E" w:rsidRDefault="00F82B5E" w:rsidP="00F310A0">
            <w:pPr>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lang w:val="en-GB"/>
              </w:rPr>
            </w:pPr>
            <w:r w:rsidRPr="00D4307E">
              <w:rPr>
                <w:rFonts w:ascii="Open Sans" w:hAnsi="Open Sans" w:cs="Open Sans"/>
                <w:lang w:val="en-GB"/>
              </w:rPr>
              <w:t>16,383,554.00</w:t>
            </w:r>
          </w:p>
        </w:tc>
      </w:tr>
      <w:tr w:rsidR="00F82B5E" w:rsidRPr="00874DC4" w14:paraId="2AA562FE" w14:textId="77777777" w:rsidTr="00D4307E">
        <w:tc>
          <w:tcPr>
            <w:cnfStyle w:val="001000000000" w:firstRow="0" w:lastRow="0" w:firstColumn="1" w:lastColumn="0" w:oddVBand="0" w:evenVBand="0" w:oddHBand="0" w:evenHBand="0" w:firstRowFirstColumn="0" w:firstRowLastColumn="0" w:lastRowFirstColumn="0" w:lastRowLastColumn="0"/>
            <w:tcW w:w="6521" w:type="dxa"/>
            <w:shd w:val="clear" w:color="auto" w:fill="FFE58B" w:themeFill="accent3" w:themeFillTint="66"/>
            <w:vAlign w:val="center"/>
          </w:tcPr>
          <w:p w14:paraId="5BECB6B6" w14:textId="48DED038" w:rsidR="00F82B5E" w:rsidRPr="00D4307E" w:rsidRDefault="00F82B5E" w:rsidP="0079079D">
            <w:pPr>
              <w:spacing w:after="120" w:line="276" w:lineRule="auto"/>
              <w:jc w:val="both"/>
              <w:rPr>
                <w:rFonts w:ascii="Open Sans" w:hAnsi="Open Sans" w:cs="Open Sans"/>
                <w:b w:val="0"/>
                <w:lang w:val="en-GB"/>
              </w:rPr>
            </w:pPr>
            <w:r w:rsidRPr="00D4307E">
              <w:rPr>
                <w:rFonts w:ascii="Open Sans" w:hAnsi="Open Sans" w:cs="Open Sans"/>
                <w:lang w:val="en-GB"/>
              </w:rPr>
              <w:t>104. Self-employment, entrepreneurship and business creation including innovative micro, small and medium sized enterprises</w:t>
            </w:r>
          </w:p>
        </w:tc>
        <w:tc>
          <w:tcPr>
            <w:tcW w:w="2427" w:type="dxa"/>
            <w:shd w:val="clear" w:color="auto" w:fill="FFE58B" w:themeFill="accent3" w:themeFillTint="66"/>
          </w:tcPr>
          <w:p w14:paraId="232A5902" w14:textId="2669E090" w:rsidR="00F82B5E" w:rsidRPr="00D4307E" w:rsidRDefault="00F82B5E" w:rsidP="00F310A0">
            <w:pPr>
              <w:spacing w:after="120" w:line="276" w:lineRule="auto"/>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lang w:val="en-GB"/>
              </w:rPr>
            </w:pPr>
            <w:r w:rsidRPr="00D4307E">
              <w:rPr>
                <w:rFonts w:ascii="Open Sans" w:hAnsi="Open Sans" w:cs="Open Sans"/>
                <w:lang w:val="en-GB"/>
              </w:rPr>
              <w:t>25,745,585.00</w:t>
            </w:r>
          </w:p>
        </w:tc>
      </w:tr>
      <w:tr w:rsidR="00F82B5E" w:rsidRPr="00874DC4" w14:paraId="5EAE2AEC" w14:textId="77777777" w:rsidTr="00D4307E">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6521" w:type="dxa"/>
            <w:tcBorders>
              <w:top w:val="none" w:sz="0" w:space="0" w:color="auto"/>
              <w:left w:val="none" w:sz="0" w:space="0" w:color="auto"/>
              <w:bottom w:val="none" w:sz="0" w:space="0" w:color="auto"/>
            </w:tcBorders>
            <w:shd w:val="clear" w:color="auto" w:fill="FFE58B" w:themeFill="accent3" w:themeFillTint="66"/>
            <w:vAlign w:val="center"/>
          </w:tcPr>
          <w:p w14:paraId="25D365C5" w14:textId="00E522B7" w:rsidR="00F82B5E" w:rsidRPr="00D4307E" w:rsidRDefault="00F82B5E" w:rsidP="0079079D">
            <w:pPr>
              <w:spacing w:after="120" w:line="276" w:lineRule="auto"/>
              <w:jc w:val="both"/>
              <w:rPr>
                <w:rFonts w:ascii="Open Sans" w:hAnsi="Open Sans" w:cs="Open Sans"/>
                <w:b w:val="0"/>
                <w:lang w:val="en-GB"/>
              </w:rPr>
            </w:pPr>
            <w:r w:rsidRPr="00D4307E">
              <w:rPr>
                <w:rFonts w:ascii="Open Sans" w:hAnsi="Open Sans" w:cs="Open Sans"/>
                <w:lang w:val="en-GB"/>
              </w:rPr>
              <w:t>108. Modernisation of labour market institutions,  such as public and private employment services, and improving the matching of labour market needs, including through actions that enhance transnational labour mobility as well as through mobility schemes and better cooperation between institutions and relevant stakeholders</w:t>
            </w:r>
          </w:p>
        </w:tc>
        <w:tc>
          <w:tcPr>
            <w:tcW w:w="2427" w:type="dxa"/>
            <w:tcBorders>
              <w:top w:val="none" w:sz="0" w:space="0" w:color="auto"/>
              <w:bottom w:val="none" w:sz="0" w:space="0" w:color="auto"/>
              <w:right w:val="none" w:sz="0" w:space="0" w:color="auto"/>
            </w:tcBorders>
            <w:shd w:val="clear" w:color="auto" w:fill="FFE58B" w:themeFill="accent3" w:themeFillTint="66"/>
          </w:tcPr>
          <w:p w14:paraId="39F3F296" w14:textId="0591E98B" w:rsidR="00F82B5E" w:rsidRPr="00D4307E" w:rsidRDefault="00F82B5E" w:rsidP="00F310A0">
            <w:pPr>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lang w:val="en-GB"/>
              </w:rPr>
            </w:pPr>
            <w:r w:rsidRPr="00D4307E">
              <w:rPr>
                <w:rFonts w:ascii="Open Sans" w:hAnsi="Open Sans" w:cs="Open Sans"/>
                <w:lang w:val="en-GB"/>
              </w:rPr>
              <w:t>4,681,016.00</w:t>
            </w:r>
          </w:p>
        </w:tc>
      </w:tr>
    </w:tbl>
    <w:p w14:paraId="7F508F97" w14:textId="77777777" w:rsidR="00952F1F" w:rsidRPr="00D4307E" w:rsidRDefault="00952F1F" w:rsidP="007F43EC">
      <w:pPr>
        <w:jc w:val="both"/>
        <w:rPr>
          <w:rFonts w:ascii="Open Sans" w:hAnsi="Open Sans" w:cs="Open Sans"/>
          <w:lang w:val="en-GB"/>
        </w:rPr>
      </w:pPr>
    </w:p>
    <w:p w14:paraId="2301D664" w14:textId="037711D9" w:rsidR="007F43EC" w:rsidRPr="00D4307E" w:rsidRDefault="00F82B5E" w:rsidP="007F43EC">
      <w:pPr>
        <w:jc w:val="both"/>
        <w:rPr>
          <w:rFonts w:ascii="Open Sans" w:hAnsi="Open Sans" w:cs="Open Sans"/>
          <w:lang w:val="en-GB"/>
        </w:rPr>
      </w:pPr>
      <w:r w:rsidRPr="00D4307E">
        <w:rPr>
          <w:rFonts w:ascii="Open Sans" w:hAnsi="Open Sans" w:cs="Open Sans"/>
          <w:lang w:val="en-GB"/>
        </w:rPr>
        <w:t xml:space="preserve">For measuring the outputs under this Ip, 1 output indicator has been identified, measuring the </w:t>
      </w:r>
      <w:r w:rsidRPr="00D4307E">
        <w:rPr>
          <w:rFonts w:ascii="Open Sans" w:hAnsi="Open Sans" w:cs="Open Sans"/>
          <w:i/>
          <w:iCs/>
          <w:lang w:val="en-GB"/>
        </w:rPr>
        <w:t xml:space="preserve">number of participants in joint local employment initiatives. </w:t>
      </w:r>
      <w:r w:rsidRPr="00D4307E">
        <w:rPr>
          <w:rFonts w:ascii="Open Sans" w:hAnsi="Open Sans" w:cs="Open Sans"/>
          <w:lang w:val="en-GB"/>
        </w:rPr>
        <w:t>It is a common output indicator.</w:t>
      </w:r>
    </w:p>
    <w:tbl>
      <w:tblPr>
        <w:tblStyle w:val="LightList-Accent1"/>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2226"/>
        <w:gridCol w:w="2004"/>
      </w:tblGrid>
      <w:tr w:rsidR="00F310A0" w:rsidRPr="00874DC4" w14:paraId="0F0ADF8C" w14:textId="77777777" w:rsidTr="00D4307E">
        <w:trPr>
          <w:cnfStyle w:val="100000000000" w:firstRow="1" w:lastRow="0" w:firstColumn="0" w:lastColumn="0" w:oddVBand="0" w:evenVBand="0" w:oddHBand="0"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5220" w:type="dxa"/>
            <w:shd w:val="clear" w:color="auto" w:fill="DCD1C0" w:themeFill="accent6" w:themeFillTint="66"/>
          </w:tcPr>
          <w:p w14:paraId="0EC3B5C2" w14:textId="77777777" w:rsidR="00E067B1" w:rsidRPr="00D4307E" w:rsidRDefault="00E067B1" w:rsidP="00C46205">
            <w:pPr>
              <w:spacing w:after="120" w:line="276" w:lineRule="auto"/>
              <w:jc w:val="both"/>
              <w:rPr>
                <w:rFonts w:ascii="Open Sans" w:hAnsi="Open Sans" w:cs="Open Sans"/>
                <w:color w:val="000000" w:themeColor="text1"/>
                <w:lang w:val="en-GB"/>
              </w:rPr>
            </w:pPr>
            <w:r w:rsidRPr="00D4307E">
              <w:rPr>
                <w:rFonts w:ascii="Open Sans" w:hAnsi="Open Sans" w:cs="Open Sans"/>
                <w:color w:val="000000" w:themeColor="text1"/>
                <w:lang w:val="en-GB"/>
              </w:rPr>
              <w:t>ID Indicator</w:t>
            </w:r>
          </w:p>
        </w:tc>
        <w:tc>
          <w:tcPr>
            <w:tcW w:w="2226" w:type="dxa"/>
            <w:shd w:val="clear" w:color="auto" w:fill="DCD1C0" w:themeFill="accent6" w:themeFillTint="66"/>
          </w:tcPr>
          <w:p w14:paraId="05207B91" w14:textId="77777777" w:rsidR="00E067B1" w:rsidRPr="00D4307E" w:rsidRDefault="00E067B1" w:rsidP="00F310A0">
            <w:pPr>
              <w:spacing w:after="120" w:line="276" w:lineRule="auto"/>
              <w:jc w:val="center"/>
              <w:cnfStyle w:val="100000000000" w:firstRow="1" w:lastRow="0" w:firstColumn="0" w:lastColumn="0" w:oddVBand="0" w:evenVBand="0" w:oddHBand="0" w:evenHBand="0" w:firstRowFirstColumn="0" w:firstRowLastColumn="0" w:lastRowFirstColumn="0" w:lastRowLastColumn="0"/>
              <w:rPr>
                <w:rFonts w:ascii="Open Sans" w:hAnsi="Open Sans" w:cs="Open Sans"/>
                <w:color w:val="000000" w:themeColor="text1"/>
                <w:lang w:val="en-GB"/>
              </w:rPr>
            </w:pPr>
            <w:r w:rsidRPr="00D4307E">
              <w:rPr>
                <w:rFonts w:ascii="Open Sans" w:hAnsi="Open Sans" w:cs="Open Sans"/>
                <w:color w:val="000000" w:themeColor="text1"/>
                <w:lang w:val="en-GB"/>
              </w:rPr>
              <w:t>Measurement unit</w:t>
            </w:r>
          </w:p>
        </w:tc>
        <w:tc>
          <w:tcPr>
            <w:tcW w:w="2004" w:type="dxa"/>
            <w:shd w:val="clear" w:color="auto" w:fill="DCD1C0" w:themeFill="accent6" w:themeFillTint="66"/>
          </w:tcPr>
          <w:p w14:paraId="5A3DC712" w14:textId="188A7DFE" w:rsidR="00E067B1" w:rsidRPr="00D4307E" w:rsidRDefault="007F43EC" w:rsidP="00F310A0">
            <w:pPr>
              <w:spacing w:after="120" w:line="276" w:lineRule="auto"/>
              <w:jc w:val="center"/>
              <w:cnfStyle w:val="100000000000" w:firstRow="1" w:lastRow="0" w:firstColumn="0" w:lastColumn="0" w:oddVBand="0" w:evenVBand="0" w:oddHBand="0" w:evenHBand="0" w:firstRowFirstColumn="0" w:firstRowLastColumn="0" w:lastRowFirstColumn="0" w:lastRowLastColumn="0"/>
              <w:rPr>
                <w:rFonts w:ascii="Open Sans" w:hAnsi="Open Sans" w:cs="Open Sans"/>
                <w:color w:val="000000" w:themeColor="text1"/>
                <w:lang w:val="en-GB"/>
              </w:rPr>
            </w:pPr>
            <w:r w:rsidRPr="00D4307E">
              <w:rPr>
                <w:rFonts w:ascii="Open Sans" w:hAnsi="Open Sans" w:cs="Open Sans"/>
                <w:color w:val="000000" w:themeColor="text1"/>
                <w:lang w:val="en-GB"/>
              </w:rPr>
              <w:t>Target value (2023)</w:t>
            </w:r>
          </w:p>
        </w:tc>
      </w:tr>
      <w:tr w:rsidR="00E067B1" w:rsidRPr="00874DC4" w14:paraId="1909129C" w14:textId="77777777" w:rsidTr="00D430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20" w:type="dxa"/>
            <w:tcBorders>
              <w:top w:val="none" w:sz="0" w:space="0" w:color="auto"/>
              <w:left w:val="none" w:sz="0" w:space="0" w:color="auto"/>
              <w:bottom w:val="none" w:sz="0" w:space="0" w:color="auto"/>
            </w:tcBorders>
            <w:shd w:val="clear" w:color="auto" w:fill="FFE58B" w:themeFill="accent3" w:themeFillTint="66"/>
          </w:tcPr>
          <w:p w14:paraId="2F2EC7D1" w14:textId="1CBCDDEA" w:rsidR="00E067B1" w:rsidRPr="00D4307E" w:rsidRDefault="00F82B5E" w:rsidP="00C46205">
            <w:pPr>
              <w:spacing w:after="120" w:line="276" w:lineRule="auto"/>
              <w:jc w:val="both"/>
              <w:rPr>
                <w:rFonts w:ascii="Open Sans" w:hAnsi="Open Sans" w:cs="Open Sans"/>
                <w:lang w:val="en-GB"/>
              </w:rPr>
            </w:pPr>
            <w:r w:rsidRPr="00D4307E">
              <w:rPr>
                <w:rFonts w:ascii="Open Sans" w:hAnsi="Open Sans" w:cs="Open Sans"/>
                <w:lang w:val="en-GB"/>
              </w:rPr>
              <w:t>8/b</w:t>
            </w:r>
            <w:r w:rsidR="001C4125" w:rsidRPr="00D4307E">
              <w:rPr>
                <w:rFonts w:ascii="Open Sans" w:hAnsi="Open Sans" w:cs="Open Sans"/>
                <w:lang w:val="en-GB"/>
              </w:rPr>
              <w:t xml:space="preserve"> 1 </w:t>
            </w:r>
            <w:r w:rsidRPr="00D4307E">
              <w:rPr>
                <w:rFonts w:ascii="Open Sans" w:hAnsi="Open Sans" w:cs="Open Sans"/>
                <w:lang w:val="en-GB"/>
              </w:rPr>
              <w:t>Labour Market and Training: Number of participants in joint local employment initiatives and joint training</w:t>
            </w:r>
          </w:p>
        </w:tc>
        <w:tc>
          <w:tcPr>
            <w:tcW w:w="2226" w:type="dxa"/>
            <w:tcBorders>
              <w:top w:val="none" w:sz="0" w:space="0" w:color="auto"/>
              <w:bottom w:val="none" w:sz="0" w:space="0" w:color="auto"/>
            </w:tcBorders>
            <w:shd w:val="clear" w:color="auto" w:fill="FFE58B" w:themeFill="accent3" w:themeFillTint="66"/>
          </w:tcPr>
          <w:p w14:paraId="30B45B1E" w14:textId="4DAECFCD" w:rsidR="00E067B1" w:rsidRPr="00D4307E" w:rsidRDefault="00F82B5E" w:rsidP="00F310A0">
            <w:pPr>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b/>
                <w:lang w:val="en-GB"/>
              </w:rPr>
            </w:pPr>
            <w:r w:rsidRPr="00D4307E">
              <w:rPr>
                <w:rFonts w:ascii="Open Sans" w:hAnsi="Open Sans" w:cs="Open Sans"/>
                <w:b/>
                <w:lang w:val="en-GB"/>
              </w:rPr>
              <w:t>Persons</w:t>
            </w:r>
          </w:p>
        </w:tc>
        <w:tc>
          <w:tcPr>
            <w:tcW w:w="2004" w:type="dxa"/>
            <w:tcBorders>
              <w:top w:val="none" w:sz="0" w:space="0" w:color="auto"/>
              <w:bottom w:val="none" w:sz="0" w:space="0" w:color="auto"/>
              <w:right w:val="none" w:sz="0" w:space="0" w:color="auto"/>
            </w:tcBorders>
            <w:shd w:val="clear" w:color="auto" w:fill="FFE58B" w:themeFill="accent3" w:themeFillTint="66"/>
          </w:tcPr>
          <w:p w14:paraId="4BF1DF1C" w14:textId="057DA492" w:rsidR="00E067B1" w:rsidRPr="00D4307E" w:rsidRDefault="00F82B5E" w:rsidP="00F310A0">
            <w:pPr>
              <w:spacing w:after="120" w:line="276" w:lineRule="auto"/>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b/>
                <w:lang w:val="en-GB"/>
              </w:rPr>
            </w:pPr>
            <w:r w:rsidRPr="00D4307E">
              <w:rPr>
                <w:rFonts w:ascii="Open Sans" w:hAnsi="Open Sans" w:cs="Open Sans"/>
                <w:b/>
                <w:lang w:val="en-GB"/>
              </w:rPr>
              <w:t>15,000.00</w:t>
            </w:r>
          </w:p>
        </w:tc>
      </w:tr>
    </w:tbl>
    <w:p w14:paraId="10A3DC6F" w14:textId="7C8DAB04" w:rsidR="002A7D4E" w:rsidRPr="00D4307E" w:rsidRDefault="002A7D4E" w:rsidP="00080B69">
      <w:pPr>
        <w:autoSpaceDE w:val="0"/>
        <w:autoSpaceDN w:val="0"/>
        <w:adjustRightInd w:val="0"/>
        <w:spacing w:before="360" w:after="200"/>
        <w:jc w:val="both"/>
        <w:rPr>
          <w:rFonts w:ascii="Open Sans" w:hAnsi="Open Sans" w:cs="Open Sans"/>
          <w:color w:val="000000"/>
          <w:lang w:val="en-GB"/>
        </w:rPr>
      </w:pPr>
      <w:r w:rsidRPr="00D4307E">
        <w:rPr>
          <w:rFonts w:ascii="Open Sans" w:hAnsi="Open Sans" w:cs="Open Sans"/>
          <w:color w:val="000000"/>
          <w:lang w:val="en-GB"/>
        </w:rPr>
        <w:t xml:space="preserve">This indicator measures the number of individuals who take part in sustainable joint employment initiatives and / or joint training programmes aimed at employment: interventions that make a contribution to increased employment, addressing the demand side of the labour market by contributing to job creation by employers (through improving the environment – infrastructure and services - for businesses / other employers, conducive to increased employment); by addressing the supply side of the labour market (through improving the marketable knowledge and skills of the labour force) and by better matching labour market supply and demand through the cooperation of employment services, the setting-up and operation of cross-border employment forums involving public sector organizations and businesses, and the delivery of regular job fairs. </w:t>
      </w:r>
    </w:p>
    <w:p w14:paraId="61E6BAC0" w14:textId="77777777" w:rsidR="002A7D4E" w:rsidRPr="00D4307E" w:rsidRDefault="002A7D4E" w:rsidP="00080B69">
      <w:pPr>
        <w:autoSpaceDE w:val="0"/>
        <w:autoSpaceDN w:val="0"/>
        <w:adjustRightInd w:val="0"/>
        <w:spacing w:after="200"/>
        <w:jc w:val="both"/>
        <w:rPr>
          <w:rFonts w:ascii="Open Sans" w:hAnsi="Open Sans" w:cs="Open Sans"/>
          <w:lang w:val="en-GB"/>
        </w:rPr>
      </w:pPr>
      <w:r w:rsidRPr="00D4307E">
        <w:rPr>
          <w:rFonts w:ascii="Open Sans" w:hAnsi="Open Sans" w:cs="Open Sans"/>
          <w:lang w:val="en-GB"/>
        </w:rPr>
        <w:t xml:space="preserve">The beneficiaries need to measure and record the number of participants in a credible way. Number of participants includes the number of people participating in training courses, job fairs, work experience initiatives, or workforce hired as a result of the interventions. </w:t>
      </w:r>
    </w:p>
    <w:p w14:paraId="404006F9" w14:textId="6B975328" w:rsidR="002A7D4E" w:rsidRPr="00D4307E" w:rsidRDefault="002A7D4E" w:rsidP="00080B69">
      <w:pPr>
        <w:autoSpaceDE w:val="0"/>
        <w:autoSpaceDN w:val="0"/>
        <w:adjustRightInd w:val="0"/>
        <w:spacing w:after="200"/>
        <w:jc w:val="both"/>
        <w:rPr>
          <w:rFonts w:ascii="Open Sans" w:hAnsi="Open Sans" w:cs="Open Sans"/>
          <w:b/>
          <w:lang w:val="en-GB"/>
        </w:rPr>
      </w:pPr>
      <w:r w:rsidRPr="00D4307E">
        <w:rPr>
          <w:rFonts w:ascii="Open Sans" w:hAnsi="Open Sans" w:cs="Open Sans"/>
          <w:b/>
          <w:lang w:val="en-GB"/>
        </w:rPr>
        <w:t xml:space="preserve">The same person can only be counted once even if benefiting from more than two services developed under the same project (like participating in a training course and a job fair), so the records need to be done in a way that facilitates identification of duplications. </w:t>
      </w:r>
    </w:p>
    <w:p w14:paraId="7010BDEE" w14:textId="0E16A18F" w:rsidR="002A7D4E" w:rsidRPr="00D4307E" w:rsidRDefault="002A7D4E" w:rsidP="00080B69">
      <w:pPr>
        <w:spacing w:after="200"/>
        <w:jc w:val="both"/>
        <w:rPr>
          <w:rFonts w:ascii="Open Sans" w:hAnsi="Open Sans" w:cs="Open Sans"/>
          <w:lang w:val="en-GB"/>
        </w:rPr>
      </w:pPr>
      <w:r w:rsidRPr="00D4307E">
        <w:rPr>
          <w:rFonts w:ascii="Open Sans" w:hAnsi="Open Sans" w:cs="Open Sans"/>
          <w:lang w:val="en-GB"/>
        </w:rPr>
        <w:t>The specific objective for this Ip is “</w:t>
      </w:r>
      <w:r w:rsidRPr="00D4307E">
        <w:rPr>
          <w:rFonts w:ascii="Open Sans" w:hAnsi="Open Sans" w:cs="Open Sans"/>
          <w:i/>
          <w:iCs/>
          <w:lang w:val="en-GB"/>
        </w:rPr>
        <w:t>Increased employment within the eligible area</w:t>
      </w:r>
      <w:r w:rsidRPr="00D4307E">
        <w:rPr>
          <w:rFonts w:ascii="Open Sans" w:hAnsi="Open Sans" w:cs="Open Sans"/>
          <w:lang w:val="en-GB"/>
        </w:rPr>
        <w:t xml:space="preserve">”. Joint employment initiatives and training programmes contribute to increasing the number of job opportunities, improving employability and matching </w:t>
      </w:r>
      <w:r w:rsidR="00080B69" w:rsidRPr="00D4307E">
        <w:rPr>
          <w:rFonts w:ascii="Open Sans" w:hAnsi="Open Sans" w:cs="Open Sans"/>
          <w:lang w:val="en-GB"/>
        </w:rPr>
        <w:t>labour</w:t>
      </w:r>
      <w:r w:rsidRPr="00D4307E">
        <w:rPr>
          <w:rFonts w:ascii="Open Sans" w:hAnsi="Open Sans" w:cs="Open Sans"/>
          <w:lang w:val="en-GB"/>
        </w:rPr>
        <w:t xml:space="preserve"> market supply and demand, and the combination of these interventions makes a contribution towards the specific objective.</w:t>
      </w:r>
    </w:p>
    <w:p w14:paraId="3A4FD721" w14:textId="2271A277" w:rsidR="007F43EC" w:rsidRPr="00D4307E" w:rsidRDefault="00E26023" w:rsidP="00080B69">
      <w:pPr>
        <w:spacing w:after="200"/>
        <w:jc w:val="both"/>
        <w:rPr>
          <w:rFonts w:ascii="Open Sans" w:hAnsi="Open Sans" w:cs="Open Sans"/>
          <w:b/>
          <w:i/>
          <w:iCs/>
          <w:lang w:val="en-GB"/>
        </w:rPr>
      </w:pPr>
      <w:r w:rsidRPr="00D4307E">
        <w:rPr>
          <w:rFonts w:ascii="Open Sans" w:hAnsi="Open Sans" w:cs="Open Sans"/>
          <w:b/>
          <w:lang w:val="en-GB"/>
        </w:rPr>
        <w:t>Considering the</w:t>
      </w:r>
      <w:r w:rsidR="007F43EC" w:rsidRPr="00D4307E">
        <w:rPr>
          <w:rFonts w:ascii="Open Sans" w:hAnsi="Open Sans" w:cs="Open Sans"/>
          <w:b/>
          <w:lang w:val="en-GB"/>
        </w:rPr>
        <w:t xml:space="preserve"> </w:t>
      </w:r>
      <w:r w:rsidR="00FF021A" w:rsidRPr="00D4307E">
        <w:rPr>
          <w:rFonts w:ascii="Open Sans" w:hAnsi="Open Sans" w:cs="Open Sans"/>
          <w:b/>
          <w:lang w:val="en-GB"/>
        </w:rPr>
        <w:t xml:space="preserve">85% </w:t>
      </w:r>
      <w:r w:rsidR="007F43EC" w:rsidRPr="00D4307E">
        <w:rPr>
          <w:rFonts w:ascii="Open Sans" w:hAnsi="Open Sans" w:cs="Open Sans"/>
          <w:b/>
          <w:lang w:val="en-GB"/>
        </w:rPr>
        <w:t>financial allocation for th</w:t>
      </w:r>
      <w:r w:rsidR="003441DF" w:rsidRPr="00D4307E">
        <w:rPr>
          <w:rFonts w:ascii="Open Sans" w:hAnsi="Open Sans" w:cs="Open Sans"/>
          <w:b/>
          <w:lang w:val="en-GB"/>
        </w:rPr>
        <w:t>is indicator</w:t>
      </w:r>
      <w:r w:rsidR="007F43EC" w:rsidRPr="00D4307E">
        <w:rPr>
          <w:rFonts w:ascii="Open Sans" w:hAnsi="Open Sans" w:cs="Open Sans"/>
          <w:b/>
          <w:i/>
          <w:lang w:val="en-GB"/>
        </w:rPr>
        <w:t xml:space="preserve">, </w:t>
      </w:r>
      <w:r w:rsidR="007F43EC" w:rsidRPr="00D4307E">
        <w:rPr>
          <w:rFonts w:ascii="Open Sans" w:hAnsi="Open Sans" w:cs="Open Sans"/>
          <w:b/>
          <w:iCs/>
          <w:lang w:val="en-GB"/>
        </w:rPr>
        <w:t xml:space="preserve">the total estimated cost per </w:t>
      </w:r>
      <w:r w:rsidR="00734534" w:rsidRPr="00D4307E">
        <w:rPr>
          <w:rFonts w:ascii="Open Sans" w:hAnsi="Open Sans" w:cs="Open Sans"/>
          <w:b/>
          <w:iCs/>
          <w:lang w:val="en-GB"/>
        </w:rPr>
        <w:t>each participant in joint local employment initiatives</w:t>
      </w:r>
      <w:r w:rsidR="007F43EC" w:rsidRPr="00D4307E">
        <w:rPr>
          <w:rFonts w:ascii="Open Sans" w:hAnsi="Open Sans" w:cs="Open Sans"/>
          <w:b/>
          <w:iCs/>
          <w:lang w:val="en-GB"/>
        </w:rPr>
        <w:t xml:space="preserve"> should be up to EUR </w:t>
      </w:r>
      <w:r w:rsidR="00512FB8" w:rsidRPr="00D4307E">
        <w:rPr>
          <w:rFonts w:ascii="Open Sans" w:hAnsi="Open Sans" w:cs="Open Sans"/>
          <w:b/>
          <w:iCs/>
          <w:lang w:val="en-GB"/>
        </w:rPr>
        <w:t>3</w:t>
      </w:r>
      <w:r w:rsidR="0057016D" w:rsidRPr="00D4307E">
        <w:rPr>
          <w:rFonts w:ascii="Open Sans" w:hAnsi="Open Sans" w:cs="Open Sans"/>
          <w:b/>
          <w:iCs/>
          <w:lang w:val="en-GB"/>
        </w:rPr>
        <w:t>,</w:t>
      </w:r>
      <w:r w:rsidR="00512FB8" w:rsidRPr="00D4307E">
        <w:rPr>
          <w:rFonts w:ascii="Open Sans" w:hAnsi="Open Sans" w:cs="Open Sans"/>
          <w:b/>
          <w:iCs/>
          <w:lang w:val="en-GB"/>
        </w:rPr>
        <w:t>1</w:t>
      </w:r>
      <w:r w:rsidR="00910A0C" w:rsidRPr="00D4307E">
        <w:rPr>
          <w:rFonts w:ascii="Open Sans" w:hAnsi="Open Sans" w:cs="Open Sans"/>
          <w:b/>
          <w:iCs/>
          <w:lang w:val="en-GB"/>
        </w:rPr>
        <w:t>0</w:t>
      </w:r>
      <w:r w:rsidR="00512FB8" w:rsidRPr="00D4307E">
        <w:rPr>
          <w:rFonts w:ascii="Open Sans" w:hAnsi="Open Sans" w:cs="Open Sans"/>
          <w:b/>
          <w:iCs/>
          <w:lang w:val="en-GB"/>
        </w:rPr>
        <w:t>0,00</w:t>
      </w:r>
      <w:r w:rsidR="00734534" w:rsidRPr="00D4307E">
        <w:rPr>
          <w:rFonts w:ascii="Open Sans" w:hAnsi="Open Sans" w:cs="Open Sans"/>
          <w:b/>
          <w:iCs/>
          <w:lang w:val="en-GB"/>
        </w:rPr>
        <w:t xml:space="preserve">, </w:t>
      </w:r>
      <w:r w:rsidR="00734534" w:rsidRPr="00D4307E">
        <w:rPr>
          <w:rFonts w:ascii="Open Sans" w:hAnsi="Open Sans" w:cs="Open Sans"/>
          <w:b/>
          <w:i/>
          <w:iCs/>
          <w:lang w:val="en-GB"/>
        </w:rPr>
        <w:t>no matter what your project involves in terms of activities or investments</w:t>
      </w:r>
      <w:r w:rsidR="007F43EC" w:rsidRPr="00D4307E">
        <w:rPr>
          <w:rFonts w:ascii="Open Sans" w:hAnsi="Open Sans" w:cs="Open Sans"/>
          <w:b/>
          <w:i/>
          <w:iCs/>
          <w:lang w:val="en-GB"/>
        </w:rPr>
        <w:t xml:space="preserve">. </w:t>
      </w:r>
    </w:p>
    <w:p w14:paraId="79A38954" w14:textId="77777777" w:rsidR="00495D5F" w:rsidRPr="00D4307E" w:rsidRDefault="00495D5F" w:rsidP="00080B69">
      <w:pPr>
        <w:spacing w:after="200"/>
        <w:jc w:val="both"/>
        <w:rPr>
          <w:rFonts w:ascii="Open Sans" w:hAnsi="Open Sans" w:cs="Open Sans"/>
          <w:b/>
          <w:i/>
          <w:iCs/>
          <w:lang w:val="en-GB"/>
        </w:rPr>
      </w:pPr>
    </w:p>
    <w:p w14:paraId="227BFFEF" w14:textId="0577A427" w:rsidR="00D01C1E" w:rsidRPr="00D4307E" w:rsidRDefault="00D01C1E" w:rsidP="00080B69">
      <w:pPr>
        <w:shd w:val="clear" w:color="auto" w:fill="CBBAA1" w:themeFill="accent6" w:themeFillTint="99"/>
        <w:spacing w:after="200"/>
        <w:jc w:val="both"/>
        <w:rPr>
          <w:rFonts w:ascii="Open Sans" w:hAnsi="Open Sans" w:cs="Open Sans"/>
          <w:b/>
          <w:sz w:val="24"/>
          <w:szCs w:val="24"/>
          <w:lang w:val="en-GB"/>
        </w:rPr>
      </w:pPr>
      <w:r w:rsidRPr="00D4307E">
        <w:rPr>
          <w:rFonts w:ascii="Open Sans" w:hAnsi="Open Sans" w:cs="Open Sans"/>
          <w:b/>
          <w:sz w:val="72"/>
          <w:szCs w:val="72"/>
          <w:lang w:val="en-GB"/>
        </w:rPr>
        <w:sym w:font="Wingdings" w:char="F03A"/>
      </w:r>
      <w:r w:rsidRPr="00D4307E">
        <w:rPr>
          <w:rFonts w:ascii="Open Sans" w:hAnsi="Open Sans" w:cs="Open Sans"/>
          <w:b/>
          <w:sz w:val="24"/>
          <w:szCs w:val="24"/>
          <w:lang w:val="en-GB"/>
        </w:rPr>
        <w:t xml:space="preserve">Methodology for defining and calculating the </w:t>
      </w:r>
      <w:r w:rsidR="00381DED" w:rsidRPr="00D4307E">
        <w:rPr>
          <w:rFonts w:ascii="Open Sans" w:hAnsi="Open Sans" w:cs="Open Sans"/>
          <w:b/>
          <w:sz w:val="24"/>
          <w:szCs w:val="24"/>
          <w:lang w:val="en-GB"/>
        </w:rPr>
        <w:t>RESULT</w:t>
      </w:r>
      <w:r w:rsidRPr="00D4307E">
        <w:rPr>
          <w:rFonts w:ascii="Open Sans" w:hAnsi="Open Sans" w:cs="Open Sans"/>
          <w:b/>
          <w:sz w:val="24"/>
          <w:szCs w:val="24"/>
          <w:lang w:val="en-GB"/>
        </w:rPr>
        <w:t xml:space="preserve"> indicators:</w:t>
      </w:r>
    </w:p>
    <w:p w14:paraId="4422175A" w14:textId="41B1A578" w:rsidR="005D283F" w:rsidRDefault="00AE2DE7" w:rsidP="00080B69">
      <w:pPr>
        <w:pStyle w:val="Default"/>
        <w:spacing w:after="200" w:line="276" w:lineRule="auto"/>
        <w:jc w:val="both"/>
        <w:rPr>
          <w:rFonts w:ascii="Open Sans" w:hAnsi="Open Sans" w:cs="Open Sans"/>
          <w:b/>
          <w:iCs/>
          <w:sz w:val="22"/>
          <w:szCs w:val="22"/>
          <w:lang w:val="en-GB"/>
        </w:rPr>
      </w:pPr>
      <w:r w:rsidRPr="00D4307E">
        <w:rPr>
          <w:rFonts w:ascii="Open Sans" w:hAnsi="Open Sans" w:cs="Open Sans"/>
          <w:b/>
          <w:iCs/>
          <w:sz w:val="22"/>
          <w:szCs w:val="22"/>
          <w:lang w:val="en-GB"/>
        </w:rPr>
        <w:t>It is mandatory to be mentioned in your application form, how the output indicators will contribute to the achievement of the result indicators of the programme. The result indicator for this Ip is:</w:t>
      </w:r>
    </w:p>
    <w:p w14:paraId="2F88C340" w14:textId="77777777" w:rsidR="00FF7E65" w:rsidRDefault="00FF7E65" w:rsidP="00080B69">
      <w:pPr>
        <w:pStyle w:val="Default"/>
        <w:spacing w:after="200" w:line="276" w:lineRule="auto"/>
        <w:jc w:val="both"/>
        <w:rPr>
          <w:rFonts w:ascii="Open Sans" w:hAnsi="Open Sans" w:cs="Open Sans"/>
          <w:b/>
          <w:iCs/>
          <w:sz w:val="22"/>
          <w:szCs w:val="22"/>
          <w:lang w:val="en-GB"/>
        </w:rPr>
      </w:pPr>
    </w:p>
    <w:p w14:paraId="2CB74398" w14:textId="77777777" w:rsidR="00FF7E65" w:rsidRPr="00D4307E" w:rsidRDefault="00FF7E65" w:rsidP="00080B69">
      <w:pPr>
        <w:pStyle w:val="Default"/>
        <w:spacing w:after="200" w:line="276" w:lineRule="auto"/>
        <w:jc w:val="both"/>
        <w:rPr>
          <w:rFonts w:ascii="Open Sans" w:hAnsi="Open Sans" w:cs="Open Sans"/>
          <w:b/>
          <w:iCs/>
          <w:sz w:val="22"/>
          <w:szCs w:val="22"/>
          <w:lang w:val="en-GB"/>
        </w:rPr>
      </w:pPr>
    </w:p>
    <w:tbl>
      <w:tblPr>
        <w:tblW w:w="9606" w:type="dxa"/>
        <w:tblCellMar>
          <w:top w:w="108" w:type="dxa"/>
        </w:tblCellMar>
        <w:tblLook w:val="04A0" w:firstRow="1" w:lastRow="0" w:firstColumn="1" w:lastColumn="0" w:noHBand="0" w:noVBand="1"/>
      </w:tblPr>
      <w:tblGrid>
        <w:gridCol w:w="1760"/>
        <w:gridCol w:w="1276"/>
        <w:gridCol w:w="1146"/>
        <w:gridCol w:w="1145"/>
        <w:gridCol w:w="954"/>
        <w:gridCol w:w="1959"/>
        <w:gridCol w:w="1366"/>
      </w:tblGrid>
      <w:tr w:rsidR="002C4830" w:rsidRPr="00874DC4" w14:paraId="1709AC4D" w14:textId="77777777" w:rsidTr="00694E6F">
        <w:trPr>
          <w:trHeight w:val="403"/>
        </w:trPr>
        <w:tc>
          <w:tcPr>
            <w:tcW w:w="2660" w:type="dxa"/>
            <w:tcBorders>
              <w:top w:val="single" w:sz="4" w:space="0" w:color="000000"/>
              <w:left w:val="single" w:sz="4" w:space="0" w:color="000000"/>
              <w:bottom w:val="single" w:sz="4" w:space="0" w:color="000000"/>
              <w:right w:val="single" w:sz="4" w:space="0" w:color="000000"/>
            </w:tcBorders>
            <w:shd w:val="clear" w:color="auto" w:fill="DCD1C0" w:themeFill="accent6" w:themeFillTint="66"/>
            <w:vAlign w:val="center"/>
          </w:tcPr>
          <w:p w14:paraId="43E3FAFD" w14:textId="77777777" w:rsidR="002C4830" w:rsidRPr="00D4307E" w:rsidRDefault="002C4830" w:rsidP="00DF37E5">
            <w:pPr>
              <w:spacing w:after="0" w:line="259" w:lineRule="auto"/>
              <w:rPr>
                <w:rFonts w:ascii="Open Sans" w:hAnsi="Open Sans" w:cs="Open Sans"/>
                <w:lang w:val="en-GB"/>
              </w:rPr>
            </w:pPr>
            <w:r w:rsidRPr="00D4307E">
              <w:rPr>
                <w:rFonts w:ascii="Open Sans" w:hAnsi="Open Sans" w:cs="Open Sans"/>
                <w:b/>
                <w:lang w:val="en-GB"/>
              </w:rPr>
              <w:t>Specific objective</w:t>
            </w:r>
          </w:p>
        </w:tc>
        <w:tc>
          <w:tcPr>
            <w:tcW w:w="6946" w:type="dxa"/>
            <w:gridSpan w:val="6"/>
            <w:tcBorders>
              <w:top w:val="single" w:sz="4" w:space="0" w:color="000000"/>
              <w:left w:val="single" w:sz="4" w:space="0" w:color="000000"/>
              <w:bottom w:val="single" w:sz="4" w:space="0" w:color="000000"/>
              <w:right w:val="single" w:sz="4" w:space="0" w:color="000000"/>
            </w:tcBorders>
            <w:shd w:val="clear" w:color="auto" w:fill="DCD1C0" w:themeFill="accent6" w:themeFillTint="66"/>
            <w:vAlign w:val="center"/>
          </w:tcPr>
          <w:p w14:paraId="293FFE40" w14:textId="16E11E9D" w:rsidR="002C4830" w:rsidRPr="00D4307E" w:rsidRDefault="002C4830" w:rsidP="00DF37E5">
            <w:pPr>
              <w:spacing w:after="160" w:line="259" w:lineRule="auto"/>
              <w:rPr>
                <w:rFonts w:ascii="Open Sans" w:hAnsi="Open Sans" w:cs="Open Sans"/>
                <w:lang w:val="en-GB"/>
              </w:rPr>
            </w:pPr>
            <w:r w:rsidRPr="00D4307E">
              <w:rPr>
                <w:rFonts w:ascii="Open Sans" w:hAnsi="Open Sans" w:cs="Open Sans"/>
                <w:b/>
                <w:lang w:val="en-GB"/>
              </w:rPr>
              <w:t>SO8/b - Increased employment within the eligible area</w:t>
            </w:r>
          </w:p>
        </w:tc>
      </w:tr>
      <w:tr w:rsidR="002D50F2" w:rsidRPr="00874DC4" w14:paraId="4691AA84" w14:textId="77777777" w:rsidTr="00694E6F">
        <w:trPr>
          <w:trHeight w:val="586"/>
        </w:trPr>
        <w:tc>
          <w:tcPr>
            <w:tcW w:w="2660" w:type="dxa"/>
            <w:tcBorders>
              <w:top w:val="single" w:sz="4" w:space="0" w:color="000000"/>
              <w:left w:val="single" w:sz="4" w:space="0" w:color="000000"/>
              <w:bottom w:val="single" w:sz="4" w:space="0" w:color="000000"/>
              <w:right w:val="single" w:sz="4" w:space="0" w:color="000000"/>
            </w:tcBorders>
            <w:shd w:val="clear" w:color="auto" w:fill="F2C8B0" w:themeFill="accent5" w:themeFillTint="66"/>
          </w:tcPr>
          <w:p w14:paraId="1E2EB8AE" w14:textId="77777777" w:rsidR="002D50F2" w:rsidRPr="00D4307E" w:rsidRDefault="002D50F2" w:rsidP="002D50F2">
            <w:pPr>
              <w:spacing w:after="0" w:line="259" w:lineRule="auto"/>
              <w:ind w:right="1"/>
              <w:jc w:val="center"/>
              <w:rPr>
                <w:rFonts w:ascii="Open Sans" w:hAnsi="Open Sans" w:cs="Open Sans"/>
                <w:lang w:val="en-GB"/>
              </w:rPr>
            </w:pPr>
            <w:r w:rsidRPr="00D4307E">
              <w:rPr>
                <w:rFonts w:ascii="Open Sans" w:hAnsi="Open Sans" w:cs="Open Sans"/>
                <w:b/>
                <w:lang w:val="en-GB"/>
              </w:rPr>
              <w:t>Indicator</w:t>
            </w:r>
          </w:p>
        </w:tc>
        <w:tc>
          <w:tcPr>
            <w:tcW w:w="1185" w:type="dxa"/>
            <w:tcBorders>
              <w:top w:val="single" w:sz="4" w:space="0" w:color="000000"/>
              <w:left w:val="single" w:sz="4" w:space="0" w:color="000000"/>
              <w:bottom w:val="single" w:sz="4" w:space="0" w:color="000000"/>
              <w:right w:val="single" w:sz="4" w:space="0" w:color="000000"/>
            </w:tcBorders>
            <w:shd w:val="clear" w:color="auto" w:fill="F2C8B0" w:themeFill="accent5" w:themeFillTint="66"/>
          </w:tcPr>
          <w:p w14:paraId="016FA9DB" w14:textId="133C1834" w:rsidR="002D50F2" w:rsidRPr="00D4307E" w:rsidRDefault="002D50F2" w:rsidP="002D50F2">
            <w:pPr>
              <w:spacing w:after="0" w:line="259" w:lineRule="auto"/>
              <w:ind w:left="35"/>
              <w:jc w:val="center"/>
              <w:rPr>
                <w:rFonts w:ascii="Open Sans" w:hAnsi="Open Sans" w:cs="Open Sans"/>
                <w:lang w:val="en-GB"/>
              </w:rPr>
            </w:pPr>
            <w:r w:rsidRPr="00D4307E">
              <w:rPr>
                <w:rFonts w:ascii="Open Sans" w:hAnsi="Open Sans" w:cs="Open Sans"/>
                <w:b/>
                <w:lang w:val="en-GB"/>
              </w:rPr>
              <w:t>Measure</w:t>
            </w:r>
            <w:r w:rsidR="00FF021A" w:rsidRPr="00D4307E">
              <w:rPr>
                <w:rFonts w:ascii="Open Sans" w:hAnsi="Open Sans" w:cs="Open Sans"/>
                <w:b/>
                <w:lang w:val="en-GB"/>
              </w:rPr>
              <w:t>-</w:t>
            </w:r>
            <w:r w:rsidRPr="00D4307E">
              <w:rPr>
                <w:rFonts w:ascii="Open Sans" w:hAnsi="Open Sans" w:cs="Open Sans"/>
                <w:b/>
                <w:lang w:val="en-GB"/>
              </w:rPr>
              <w:t>ment unit</w:t>
            </w:r>
          </w:p>
        </w:tc>
        <w:tc>
          <w:tcPr>
            <w:tcW w:w="1083" w:type="dxa"/>
            <w:tcBorders>
              <w:top w:val="single" w:sz="4" w:space="0" w:color="000000"/>
              <w:left w:val="single" w:sz="4" w:space="0" w:color="000000"/>
              <w:bottom w:val="single" w:sz="4" w:space="0" w:color="000000"/>
              <w:right w:val="single" w:sz="4" w:space="0" w:color="000000"/>
            </w:tcBorders>
            <w:shd w:val="clear" w:color="auto" w:fill="F2C8B0" w:themeFill="accent5" w:themeFillTint="66"/>
          </w:tcPr>
          <w:p w14:paraId="33D3E457" w14:textId="77777777" w:rsidR="002D50F2" w:rsidRPr="00D4307E" w:rsidRDefault="002D50F2" w:rsidP="002D50F2">
            <w:pPr>
              <w:spacing w:after="0" w:line="259" w:lineRule="auto"/>
              <w:ind w:right="1"/>
              <w:jc w:val="center"/>
              <w:rPr>
                <w:rFonts w:ascii="Open Sans" w:hAnsi="Open Sans" w:cs="Open Sans"/>
                <w:lang w:val="en-GB"/>
              </w:rPr>
            </w:pPr>
            <w:r w:rsidRPr="00D4307E">
              <w:rPr>
                <w:rFonts w:ascii="Open Sans" w:hAnsi="Open Sans" w:cs="Open Sans"/>
                <w:b/>
                <w:lang w:val="en-GB"/>
              </w:rPr>
              <w:t>Baseline value</w:t>
            </w:r>
          </w:p>
        </w:tc>
        <w:tc>
          <w:tcPr>
            <w:tcW w:w="1073" w:type="dxa"/>
            <w:tcBorders>
              <w:top w:val="single" w:sz="4" w:space="0" w:color="000000"/>
              <w:left w:val="single" w:sz="4" w:space="0" w:color="000000"/>
              <w:bottom w:val="single" w:sz="4" w:space="0" w:color="000000"/>
              <w:right w:val="single" w:sz="4" w:space="0" w:color="000000"/>
            </w:tcBorders>
            <w:shd w:val="clear" w:color="auto" w:fill="F2C8B0" w:themeFill="accent5" w:themeFillTint="66"/>
            <w:vAlign w:val="center"/>
          </w:tcPr>
          <w:p w14:paraId="62EBB6C5" w14:textId="77777777" w:rsidR="002D50F2" w:rsidRPr="00D4307E" w:rsidRDefault="002D50F2" w:rsidP="002D50F2">
            <w:pPr>
              <w:spacing w:after="0" w:line="259" w:lineRule="auto"/>
              <w:jc w:val="center"/>
              <w:rPr>
                <w:rFonts w:ascii="Open Sans" w:hAnsi="Open Sans" w:cs="Open Sans"/>
                <w:lang w:val="en-GB"/>
              </w:rPr>
            </w:pPr>
            <w:r w:rsidRPr="00D4307E">
              <w:rPr>
                <w:rFonts w:ascii="Open Sans" w:hAnsi="Open Sans" w:cs="Open Sans"/>
                <w:b/>
                <w:lang w:val="en-GB"/>
              </w:rPr>
              <w:t>Baseline year</w:t>
            </w:r>
          </w:p>
        </w:tc>
        <w:tc>
          <w:tcPr>
            <w:tcW w:w="1053" w:type="dxa"/>
            <w:tcBorders>
              <w:top w:val="single" w:sz="4" w:space="0" w:color="000000"/>
              <w:left w:val="single" w:sz="4" w:space="0" w:color="000000"/>
              <w:bottom w:val="single" w:sz="4" w:space="0" w:color="000000"/>
              <w:right w:val="single" w:sz="4" w:space="0" w:color="000000"/>
            </w:tcBorders>
            <w:shd w:val="clear" w:color="auto" w:fill="F2C8B0" w:themeFill="accent5" w:themeFillTint="66"/>
          </w:tcPr>
          <w:p w14:paraId="07CF8EC1" w14:textId="77777777" w:rsidR="002D50F2" w:rsidRPr="00D4307E" w:rsidRDefault="002D50F2" w:rsidP="002D50F2">
            <w:pPr>
              <w:spacing w:after="0" w:line="259" w:lineRule="auto"/>
              <w:ind w:right="1"/>
              <w:jc w:val="center"/>
              <w:rPr>
                <w:rFonts w:ascii="Open Sans" w:hAnsi="Open Sans" w:cs="Open Sans"/>
                <w:lang w:val="en-GB"/>
              </w:rPr>
            </w:pPr>
            <w:r w:rsidRPr="00D4307E">
              <w:rPr>
                <w:rFonts w:ascii="Open Sans" w:hAnsi="Open Sans" w:cs="Open Sans"/>
                <w:b/>
                <w:lang w:val="en-GB"/>
              </w:rPr>
              <w:t>Target value (2023)</w:t>
            </w:r>
          </w:p>
        </w:tc>
        <w:tc>
          <w:tcPr>
            <w:tcW w:w="1203" w:type="dxa"/>
            <w:tcBorders>
              <w:top w:val="single" w:sz="4" w:space="0" w:color="000000"/>
              <w:left w:val="single" w:sz="4" w:space="0" w:color="000000"/>
              <w:bottom w:val="single" w:sz="4" w:space="0" w:color="000000"/>
              <w:right w:val="single" w:sz="4" w:space="0" w:color="000000"/>
            </w:tcBorders>
            <w:shd w:val="clear" w:color="auto" w:fill="F2C8B0" w:themeFill="accent5" w:themeFillTint="66"/>
          </w:tcPr>
          <w:p w14:paraId="40A4428D" w14:textId="77777777" w:rsidR="002D50F2" w:rsidRPr="00D4307E" w:rsidRDefault="002D50F2" w:rsidP="002D50F2">
            <w:pPr>
              <w:spacing w:after="0" w:line="259" w:lineRule="auto"/>
              <w:jc w:val="center"/>
              <w:rPr>
                <w:rFonts w:ascii="Open Sans" w:hAnsi="Open Sans" w:cs="Open Sans"/>
                <w:lang w:val="en-GB"/>
              </w:rPr>
            </w:pPr>
            <w:r w:rsidRPr="00D4307E">
              <w:rPr>
                <w:rFonts w:ascii="Open Sans" w:hAnsi="Open Sans" w:cs="Open Sans"/>
                <w:b/>
                <w:lang w:val="en-GB"/>
              </w:rPr>
              <w:t>Source of data</w:t>
            </w:r>
          </w:p>
        </w:tc>
        <w:tc>
          <w:tcPr>
            <w:tcW w:w="1349" w:type="dxa"/>
            <w:tcBorders>
              <w:top w:val="single" w:sz="4" w:space="0" w:color="000000"/>
              <w:left w:val="single" w:sz="4" w:space="0" w:color="000000"/>
              <w:bottom w:val="single" w:sz="4" w:space="0" w:color="000000"/>
              <w:right w:val="single" w:sz="4" w:space="0" w:color="000000"/>
            </w:tcBorders>
            <w:shd w:val="clear" w:color="auto" w:fill="F2C8B0" w:themeFill="accent5" w:themeFillTint="66"/>
          </w:tcPr>
          <w:p w14:paraId="7899FD27" w14:textId="77777777" w:rsidR="002D50F2" w:rsidRPr="00D4307E" w:rsidRDefault="002D50F2" w:rsidP="002D50F2">
            <w:pPr>
              <w:spacing w:after="0" w:line="259" w:lineRule="auto"/>
              <w:ind w:right="2"/>
              <w:jc w:val="center"/>
              <w:rPr>
                <w:rFonts w:ascii="Open Sans" w:hAnsi="Open Sans" w:cs="Open Sans"/>
                <w:lang w:val="en-GB"/>
              </w:rPr>
            </w:pPr>
            <w:r w:rsidRPr="00D4307E">
              <w:rPr>
                <w:rFonts w:ascii="Open Sans" w:hAnsi="Open Sans" w:cs="Open Sans"/>
                <w:b/>
                <w:lang w:val="en-GB"/>
              </w:rPr>
              <w:t>Frequency of reporting</w:t>
            </w:r>
          </w:p>
        </w:tc>
      </w:tr>
      <w:tr w:rsidR="002D50F2" w:rsidRPr="00874DC4" w14:paraId="75EB55E0" w14:textId="77777777" w:rsidTr="00694E6F">
        <w:trPr>
          <w:trHeight w:val="308"/>
        </w:trPr>
        <w:tc>
          <w:tcPr>
            <w:tcW w:w="2660" w:type="dxa"/>
            <w:tcBorders>
              <w:top w:val="single" w:sz="4" w:space="0" w:color="000000"/>
              <w:left w:val="single" w:sz="4" w:space="0" w:color="000000"/>
              <w:bottom w:val="single" w:sz="4" w:space="0" w:color="000000"/>
              <w:right w:val="single" w:sz="4" w:space="0" w:color="000000"/>
            </w:tcBorders>
            <w:shd w:val="clear" w:color="auto" w:fill="FFE58B" w:themeFill="accent3" w:themeFillTint="66"/>
          </w:tcPr>
          <w:p w14:paraId="190B1A8E" w14:textId="77777777" w:rsidR="002D50F2" w:rsidRPr="00D4307E" w:rsidRDefault="002D50F2" w:rsidP="00DF37E5">
            <w:pPr>
              <w:spacing w:after="0" w:line="259" w:lineRule="auto"/>
              <w:rPr>
                <w:rFonts w:ascii="Open Sans" w:hAnsi="Open Sans" w:cs="Open Sans"/>
                <w:lang w:val="en-GB"/>
              </w:rPr>
            </w:pPr>
            <w:r w:rsidRPr="00D4307E">
              <w:rPr>
                <w:rFonts w:ascii="Open Sans" w:hAnsi="Open Sans" w:cs="Open Sans"/>
                <w:lang w:val="en-GB"/>
              </w:rPr>
              <w:t>Employment rate in the eligible area as a percentage of the working age population</w:t>
            </w:r>
          </w:p>
        </w:tc>
        <w:tc>
          <w:tcPr>
            <w:tcW w:w="1185" w:type="dxa"/>
            <w:tcBorders>
              <w:top w:val="single" w:sz="4" w:space="0" w:color="000000"/>
              <w:left w:val="single" w:sz="4" w:space="0" w:color="000000"/>
              <w:bottom w:val="single" w:sz="4" w:space="0" w:color="000000"/>
              <w:right w:val="single" w:sz="4" w:space="0" w:color="000000"/>
            </w:tcBorders>
            <w:shd w:val="clear" w:color="auto" w:fill="FFE58B" w:themeFill="accent3" w:themeFillTint="66"/>
          </w:tcPr>
          <w:p w14:paraId="5A068064" w14:textId="77777777" w:rsidR="002D50F2" w:rsidRPr="00D4307E" w:rsidRDefault="002D50F2" w:rsidP="002D50F2">
            <w:pPr>
              <w:spacing w:after="0" w:line="259" w:lineRule="auto"/>
              <w:jc w:val="center"/>
              <w:rPr>
                <w:rFonts w:ascii="Open Sans" w:hAnsi="Open Sans" w:cs="Open Sans"/>
                <w:lang w:val="en-GB"/>
              </w:rPr>
            </w:pPr>
            <w:r w:rsidRPr="00D4307E">
              <w:rPr>
                <w:rFonts w:ascii="Open Sans" w:hAnsi="Open Sans" w:cs="Open Sans"/>
                <w:lang w:val="en-GB"/>
              </w:rPr>
              <w:t>%</w:t>
            </w:r>
          </w:p>
        </w:tc>
        <w:tc>
          <w:tcPr>
            <w:tcW w:w="1083" w:type="dxa"/>
            <w:tcBorders>
              <w:top w:val="single" w:sz="4" w:space="0" w:color="000000"/>
              <w:left w:val="single" w:sz="4" w:space="0" w:color="000000"/>
              <w:bottom w:val="single" w:sz="4" w:space="0" w:color="000000"/>
              <w:right w:val="single" w:sz="4" w:space="0" w:color="000000"/>
            </w:tcBorders>
            <w:shd w:val="clear" w:color="auto" w:fill="FFE58B" w:themeFill="accent3" w:themeFillTint="66"/>
          </w:tcPr>
          <w:p w14:paraId="46786F1E" w14:textId="77777777" w:rsidR="002D50F2" w:rsidRPr="00D4307E" w:rsidRDefault="002D50F2" w:rsidP="002D50F2">
            <w:pPr>
              <w:spacing w:after="0" w:line="259" w:lineRule="auto"/>
              <w:jc w:val="center"/>
              <w:rPr>
                <w:rFonts w:ascii="Open Sans" w:hAnsi="Open Sans" w:cs="Open Sans"/>
                <w:lang w:val="en-GB"/>
              </w:rPr>
            </w:pPr>
            <w:r w:rsidRPr="00D4307E">
              <w:rPr>
                <w:rFonts w:ascii="Open Sans" w:hAnsi="Open Sans" w:cs="Open Sans"/>
                <w:lang w:val="en-GB"/>
              </w:rPr>
              <w:t>56.31</w:t>
            </w:r>
          </w:p>
        </w:tc>
        <w:tc>
          <w:tcPr>
            <w:tcW w:w="1073" w:type="dxa"/>
            <w:tcBorders>
              <w:top w:val="single" w:sz="4" w:space="0" w:color="000000"/>
              <w:left w:val="single" w:sz="4" w:space="0" w:color="000000"/>
              <w:bottom w:val="single" w:sz="4" w:space="0" w:color="000000"/>
              <w:right w:val="single" w:sz="4" w:space="0" w:color="000000"/>
            </w:tcBorders>
            <w:shd w:val="clear" w:color="auto" w:fill="FFE58B" w:themeFill="accent3" w:themeFillTint="66"/>
          </w:tcPr>
          <w:p w14:paraId="154BB63B" w14:textId="77777777" w:rsidR="002D50F2" w:rsidRPr="00D4307E" w:rsidRDefault="002D50F2" w:rsidP="002D50F2">
            <w:pPr>
              <w:spacing w:after="0" w:line="259" w:lineRule="auto"/>
              <w:jc w:val="center"/>
              <w:rPr>
                <w:rFonts w:ascii="Open Sans" w:hAnsi="Open Sans" w:cs="Open Sans"/>
                <w:lang w:val="en-GB"/>
              </w:rPr>
            </w:pPr>
            <w:r w:rsidRPr="00D4307E">
              <w:rPr>
                <w:rFonts w:ascii="Open Sans" w:hAnsi="Open Sans" w:cs="Open Sans"/>
                <w:lang w:val="en-GB"/>
              </w:rPr>
              <w:t>2012</w:t>
            </w:r>
          </w:p>
        </w:tc>
        <w:tc>
          <w:tcPr>
            <w:tcW w:w="1053" w:type="dxa"/>
            <w:tcBorders>
              <w:top w:val="single" w:sz="4" w:space="0" w:color="000000"/>
              <w:left w:val="single" w:sz="4" w:space="0" w:color="000000"/>
              <w:bottom w:val="single" w:sz="4" w:space="0" w:color="000000"/>
              <w:right w:val="single" w:sz="4" w:space="0" w:color="000000"/>
            </w:tcBorders>
            <w:shd w:val="clear" w:color="auto" w:fill="FFE58B" w:themeFill="accent3" w:themeFillTint="66"/>
          </w:tcPr>
          <w:p w14:paraId="149AB13B" w14:textId="77777777" w:rsidR="002D50F2" w:rsidRPr="00D4307E" w:rsidRDefault="002D50F2" w:rsidP="002D50F2">
            <w:pPr>
              <w:spacing w:after="0" w:line="259" w:lineRule="auto"/>
              <w:jc w:val="center"/>
              <w:rPr>
                <w:rFonts w:ascii="Open Sans" w:hAnsi="Open Sans" w:cs="Open Sans"/>
                <w:lang w:val="en-GB"/>
              </w:rPr>
            </w:pPr>
            <w:r w:rsidRPr="00D4307E">
              <w:rPr>
                <w:rFonts w:ascii="Open Sans" w:hAnsi="Open Sans" w:cs="Open Sans"/>
                <w:lang w:val="en-GB"/>
              </w:rPr>
              <w:t>56.51</w:t>
            </w:r>
          </w:p>
        </w:tc>
        <w:tc>
          <w:tcPr>
            <w:tcW w:w="1203" w:type="dxa"/>
            <w:tcBorders>
              <w:top w:val="single" w:sz="4" w:space="0" w:color="000000"/>
              <w:left w:val="single" w:sz="4" w:space="0" w:color="000000"/>
              <w:bottom w:val="single" w:sz="4" w:space="0" w:color="000000"/>
              <w:right w:val="single" w:sz="4" w:space="0" w:color="000000"/>
            </w:tcBorders>
            <w:shd w:val="clear" w:color="auto" w:fill="FFE58B" w:themeFill="accent3" w:themeFillTint="66"/>
          </w:tcPr>
          <w:p w14:paraId="15561AAF" w14:textId="4DB9EEF9" w:rsidR="002D50F2" w:rsidRPr="00D4307E" w:rsidRDefault="002D50F2">
            <w:pPr>
              <w:spacing w:after="0" w:line="259" w:lineRule="auto"/>
              <w:rPr>
                <w:rFonts w:ascii="Open Sans" w:hAnsi="Open Sans" w:cs="Open Sans"/>
                <w:lang w:val="en-GB"/>
              </w:rPr>
            </w:pPr>
            <w:r w:rsidRPr="00D4307E">
              <w:rPr>
                <w:rFonts w:ascii="Open Sans" w:hAnsi="Open Sans" w:cs="Open Sans"/>
                <w:lang w:val="en-GB"/>
              </w:rPr>
              <w:t>National StatisticalOffices: KSH, INS</w:t>
            </w:r>
          </w:p>
        </w:tc>
        <w:tc>
          <w:tcPr>
            <w:tcW w:w="1349" w:type="dxa"/>
            <w:tcBorders>
              <w:top w:val="single" w:sz="4" w:space="0" w:color="000000"/>
              <w:left w:val="single" w:sz="4" w:space="0" w:color="000000"/>
              <w:bottom w:val="single" w:sz="4" w:space="0" w:color="000000"/>
              <w:right w:val="single" w:sz="4" w:space="0" w:color="000000"/>
            </w:tcBorders>
            <w:shd w:val="clear" w:color="auto" w:fill="FFE58B" w:themeFill="accent3" w:themeFillTint="66"/>
          </w:tcPr>
          <w:p w14:paraId="259D507F" w14:textId="77777777" w:rsidR="00FF7E65" w:rsidRDefault="002D50F2" w:rsidP="00DF37E5">
            <w:pPr>
              <w:spacing w:after="0" w:line="259" w:lineRule="auto"/>
              <w:rPr>
                <w:rFonts w:ascii="Open Sans" w:hAnsi="Open Sans" w:cs="Open Sans"/>
                <w:lang w:val="en-GB"/>
              </w:rPr>
            </w:pPr>
            <w:r w:rsidRPr="00D4307E">
              <w:rPr>
                <w:rFonts w:ascii="Open Sans" w:hAnsi="Open Sans" w:cs="Open Sans"/>
                <w:lang w:val="en-GB"/>
              </w:rPr>
              <w:t xml:space="preserve">2019, 2021, </w:t>
            </w:r>
          </w:p>
          <w:p w14:paraId="234A56A9" w14:textId="1F25CFE3" w:rsidR="002D50F2" w:rsidRPr="00D4307E" w:rsidRDefault="002D50F2" w:rsidP="00DF37E5">
            <w:pPr>
              <w:spacing w:after="0" w:line="259" w:lineRule="auto"/>
              <w:rPr>
                <w:rFonts w:ascii="Open Sans" w:hAnsi="Open Sans" w:cs="Open Sans"/>
                <w:lang w:val="en-GB"/>
              </w:rPr>
            </w:pPr>
            <w:r w:rsidRPr="00D4307E">
              <w:rPr>
                <w:rFonts w:ascii="Open Sans" w:hAnsi="Open Sans" w:cs="Open Sans"/>
                <w:lang w:val="en-GB"/>
              </w:rPr>
              <w:t>2023</w:t>
            </w:r>
          </w:p>
        </w:tc>
      </w:tr>
    </w:tbl>
    <w:p w14:paraId="6EA28EB6" w14:textId="77777777" w:rsidR="002D50F2" w:rsidRPr="00D4307E" w:rsidRDefault="002D50F2" w:rsidP="00D01C1E">
      <w:pPr>
        <w:pStyle w:val="Default"/>
        <w:jc w:val="both"/>
        <w:rPr>
          <w:rFonts w:ascii="Open Sans" w:hAnsi="Open Sans" w:cs="Open Sans"/>
          <w:b/>
          <w:iCs/>
          <w:sz w:val="22"/>
          <w:szCs w:val="22"/>
          <w:lang w:val="en-GB"/>
        </w:rPr>
      </w:pPr>
    </w:p>
    <w:p w14:paraId="21DBEAC7" w14:textId="0A163072" w:rsidR="00D01C1E" w:rsidRPr="00D4307E" w:rsidRDefault="00D01C1E" w:rsidP="00080B69">
      <w:pPr>
        <w:pStyle w:val="Default"/>
        <w:spacing w:after="200" w:line="276" w:lineRule="auto"/>
        <w:jc w:val="both"/>
        <w:rPr>
          <w:rFonts w:ascii="Open Sans" w:hAnsi="Open Sans" w:cs="Open Sans"/>
          <w:b/>
          <w:iCs/>
          <w:sz w:val="22"/>
          <w:szCs w:val="22"/>
          <w:lang w:val="en-GB"/>
        </w:rPr>
      </w:pPr>
      <w:r w:rsidRPr="00D4307E">
        <w:rPr>
          <w:rFonts w:ascii="Open Sans" w:hAnsi="Open Sans" w:cs="Open Sans"/>
          <w:b/>
          <w:iCs/>
          <w:sz w:val="22"/>
          <w:szCs w:val="22"/>
          <w:lang w:val="en-GB"/>
        </w:rPr>
        <w:t xml:space="preserve">Definition of the indicator: </w:t>
      </w:r>
    </w:p>
    <w:p w14:paraId="1D6EA5ED" w14:textId="64381166" w:rsidR="00D01C1E" w:rsidRPr="00D4307E" w:rsidRDefault="00FA1820" w:rsidP="00080B69">
      <w:pPr>
        <w:pStyle w:val="Default"/>
        <w:spacing w:after="200" w:line="276" w:lineRule="auto"/>
        <w:jc w:val="both"/>
        <w:rPr>
          <w:rFonts w:ascii="Open Sans" w:hAnsi="Open Sans" w:cs="Open Sans"/>
          <w:sz w:val="22"/>
          <w:szCs w:val="22"/>
          <w:lang w:val="en-GB"/>
        </w:rPr>
      </w:pPr>
      <w:r w:rsidRPr="00D4307E">
        <w:rPr>
          <w:rFonts w:ascii="Open Sans" w:hAnsi="Open Sans" w:cs="Open Sans"/>
          <w:sz w:val="22"/>
          <w:szCs w:val="22"/>
          <w:lang w:val="en-GB"/>
        </w:rPr>
        <w:t>Employment rate in the eligible area as a percentage of the working age population (15-64 years old)</w:t>
      </w:r>
      <w:r w:rsidR="004C7041" w:rsidRPr="00D4307E">
        <w:rPr>
          <w:rFonts w:ascii="Open Sans" w:hAnsi="Open Sans" w:cs="Open Sans"/>
          <w:sz w:val="22"/>
          <w:szCs w:val="22"/>
          <w:lang w:val="en-GB"/>
        </w:rPr>
        <w:t>.</w:t>
      </w:r>
    </w:p>
    <w:p w14:paraId="246EDC8D" w14:textId="45897260" w:rsidR="00D01C1E" w:rsidRPr="00D4307E" w:rsidRDefault="00D01C1E" w:rsidP="00080B69">
      <w:pPr>
        <w:pStyle w:val="Default"/>
        <w:spacing w:after="200" w:line="276" w:lineRule="auto"/>
        <w:jc w:val="both"/>
        <w:rPr>
          <w:rFonts w:ascii="Open Sans" w:hAnsi="Open Sans" w:cs="Open Sans"/>
          <w:b/>
          <w:iCs/>
          <w:sz w:val="22"/>
          <w:szCs w:val="22"/>
          <w:lang w:val="en-GB"/>
        </w:rPr>
      </w:pPr>
      <w:r w:rsidRPr="00D4307E">
        <w:rPr>
          <w:rFonts w:ascii="Open Sans" w:hAnsi="Open Sans" w:cs="Open Sans"/>
          <w:b/>
          <w:iCs/>
          <w:sz w:val="22"/>
          <w:szCs w:val="22"/>
          <w:lang w:val="en-GB"/>
        </w:rPr>
        <w:t>Relation to the specific objective and actions</w:t>
      </w:r>
      <w:r w:rsidR="00381DED" w:rsidRPr="00D4307E">
        <w:rPr>
          <w:rFonts w:ascii="Open Sans" w:hAnsi="Open Sans" w:cs="Open Sans"/>
          <w:b/>
          <w:iCs/>
          <w:sz w:val="22"/>
          <w:szCs w:val="22"/>
          <w:lang w:val="en-GB"/>
        </w:rPr>
        <w:t>:</w:t>
      </w:r>
      <w:r w:rsidRPr="00D4307E">
        <w:rPr>
          <w:rFonts w:ascii="Open Sans" w:hAnsi="Open Sans" w:cs="Open Sans"/>
          <w:b/>
          <w:iCs/>
          <w:sz w:val="22"/>
          <w:szCs w:val="22"/>
          <w:lang w:val="en-GB"/>
        </w:rPr>
        <w:t xml:space="preserve"> </w:t>
      </w:r>
    </w:p>
    <w:p w14:paraId="60912E7A" w14:textId="77777777" w:rsidR="00AE2DE7" w:rsidRPr="00D4307E" w:rsidRDefault="00AE2DE7" w:rsidP="00080B69">
      <w:pPr>
        <w:autoSpaceDE w:val="0"/>
        <w:autoSpaceDN w:val="0"/>
        <w:adjustRightInd w:val="0"/>
        <w:spacing w:after="200"/>
        <w:jc w:val="both"/>
        <w:rPr>
          <w:rFonts w:ascii="Open Sans" w:hAnsi="Open Sans" w:cs="Open Sans"/>
          <w:color w:val="000000"/>
          <w:lang w:val="en-GB"/>
        </w:rPr>
      </w:pPr>
      <w:r w:rsidRPr="00D4307E">
        <w:rPr>
          <w:rFonts w:ascii="Open Sans" w:hAnsi="Open Sans" w:cs="Open Sans"/>
          <w:color w:val="000000"/>
          <w:lang w:val="en-GB"/>
        </w:rPr>
        <w:t xml:space="preserve">The specific objective of this priority axis is increased employment in the eligible area. Due to demographic reasons the increase can only be measured as related to the number of the working age population. The employment rate in the eligible area as a percentage of the working age population measures just that trait of the labour market. </w:t>
      </w:r>
    </w:p>
    <w:p w14:paraId="3CB0EBB7" w14:textId="77777777" w:rsidR="00AE2DE7" w:rsidRPr="00D4307E" w:rsidRDefault="00AE2DE7" w:rsidP="00080B69">
      <w:pPr>
        <w:autoSpaceDE w:val="0"/>
        <w:autoSpaceDN w:val="0"/>
        <w:adjustRightInd w:val="0"/>
        <w:spacing w:after="200"/>
        <w:jc w:val="both"/>
        <w:rPr>
          <w:rFonts w:ascii="Open Sans" w:hAnsi="Open Sans" w:cs="Open Sans"/>
          <w:color w:val="000000"/>
          <w:lang w:val="en-GB"/>
        </w:rPr>
      </w:pPr>
      <w:r w:rsidRPr="00D4307E">
        <w:rPr>
          <w:rFonts w:ascii="Open Sans" w:hAnsi="Open Sans" w:cs="Open Sans"/>
          <w:color w:val="000000"/>
          <w:lang w:val="en-GB"/>
        </w:rPr>
        <w:t xml:space="preserve">Increasing employment requires the availability of more job opportunities on the labour market (demand side) and also the availability of labour force suitable for meeting the criteria of potential employers (supply side). Both are equally important, if either of them is lacking, increasing employment is not possible. The eligible actions to be implemented with the programme’s contribution address both aspects. </w:t>
      </w:r>
    </w:p>
    <w:p w14:paraId="331E12FE" w14:textId="77777777" w:rsidR="00AE2DE7" w:rsidRPr="00D4307E" w:rsidRDefault="00AE2DE7" w:rsidP="00080B69">
      <w:pPr>
        <w:autoSpaceDE w:val="0"/>
        <w:autoSpaceDN w:val="0"/>
        <w:adjustRightInd w:val="0"/>
        <w:spacing w:after="200"/>
        <w:jc w:val="both"/>
        <w:rPr>
          <w:rFonts w:ascii="Open Sans" w:hAnsi="Open Sans" w:cs="Open Sans"/>
          <w:color w:val="000000"/>
          <w:lang w:val="en-GB"/>
        </w:rPr>
      </w:pPr>
      <w:r w:rsidRPr="00D4307E">
        <w:rPr>
          <w:rFonts w:ascii="Open Sans" w:hAnsi="Open Sans" w:cs="Open Sans"/>
          <w:color w:val="000000"/>
          <w:lang w:val="en-GB"/>
        </w:rPr>
        <w:t>Targeted actions facilitating the creation of local products/services and related infrastructures based on the local potential, as well as improving business environment with the aim of increasing employment can make a contribution to increase demand on the labour market.</w:t>
      </w:r>
    </w:p>
    <w:p w14:paraId="44AB9587" w14:textId="77777777" w:rsidR="00080B69" w:rsidRPr="00D4307E" w:rsidRDefault="00AE2DE7" w:rsidP="00080B69">
      <w:pPr>
        <w:autoSpaceDE w:val="0"/>
        <w:autoSpaceDN w:val="0"/>
        <w:adjustRightInd w:val="0"/>
        <w:spacing w:after="200"/>
        <w:jc w:val="both"/>
        <w:rPr>
          <w:rFonts w:ascii="Open Sans" w:hAnsi="Open Sans" w:cs="Open Sans"/>
          <w:color w:val="000000"/>
          <w:lang w:val="en-GB"/>
        </w:rPr>
      </w:pPr>
      <w:r w:rsidRPr="00D4307E">
        <w:rPr>
          <w:rFonts w:ascii="Open Sans" w:hAnsi="Open Sans" w:cs="Open Sans"/>
          <w:color w:val="000000"/>
          <w:lang w:val="en-GB"/>
        </w:rPr>
        <w:t xml:space="preserve">The implementation of cross-border training and employment initiatives, cross-border cooperation between relevant stakeholders of labour market, on the other hand, can have a positive effect on the supply side by creating a workforce that have the proper knowledge, skills and qualifications, while also facilitates better bridging the demand and supply. </w:t>
      </w:r>
    </w:p>
    <w:p w14:paraId="05F44443" w14:textId="05943968" w:rsidR="00B84147" w:rsidRPr="00D4307E" w:rsidRDefault="00AE2DE7" w:rsidP="00080B69">
      <w:pPr>
        <w:autoSpaceDE w:val="0"/>
        <w:autoSpaceDN w:val="0"/>
        <w:adjustRightInd w:val="0"/>
        <w:spacing w:after="200"/>
        <w:jc w:val="both"/>
        <w:rPr>
          <w:rFonts w:ascii="Open Sans" w:hAnsi="Open Sans" w:cs="Open Sans"/>
          <w:lang w:val="en-GB"/>
        </w:rPr>
      </w:pPr>
      <w:r w:rsidRPr="00D4307E">
        <w:rPr>
          <w:rFonts w:ascii="Open Sans" w:hAnsi="Open Sans" w:cs="Open Sans"/>
          <w:lang w:val="en-GB"/>
        </w:rPr>
        <w:t>Altogether the actions can support the increasing of the employment rate in the eligible area.</w:t>
      </w:r>
    </w:p>
    <w:p w14:paraId="11D85D4B" w14:textId="77777777" w:rsidR="00495D5F" w:rsidRPr="00D4307E" w:rsidRDefault="00495D5F" w:rsidP="00080B69">
      <w:pPr>
        <w:autoSpaceDE w:val="0"/>
        <w:autoSpaceDN w:val="0"/>
        <w:adjustRightInd w:val="0"/>
        <w:spacing w:after="200"/>
        <w:jc w:val="both"/>
        <w:rPr>
          <w:rFonts w:ascii="Open Sans" w:hAnsi="Open Sans" w:cs="Open Sans"/>
          <w:color w:val="000000"/>
          <w:lang w:val="en-GB"/>
        </w:rPr>
      </w:pPr>
    </w:p>
    <w:p w14:paraId="42933B70" w14:textId="36553090" w:rsidR="009639B8" w:rsidRPr="00D4307E" w:rsidRDefault="009639B8" w:rsidP="00535629">
      <w:pPr>
        <w:pStyle w:val="ListParagraph"/>
        <w:shd w:val="clear" w:color="auto" w:fill="CBBAA1" w:themeFill="accent6" w:themeFillTint="99"/>
        <w:spacing w:after="0"/>
        <w:ind w:left="0"/>
        <w:jc w:val="both"/>
        <w:rPr>
          <w:rFonts w:ascii="Open Sans" w:hAnsi="Open Sans" w:cs="Open Sans"/>
          <w:b/>
          <w:sz w:val="24"/>
          <w:szCs w:val="24"/>
          <w:lang w:val="en-GB"/>
        </w:rPr>
      </w:pPr>
      <w:r w:rsidRPr="00D4307E">
        <w:rPr>
          <w:rFonts w:ascii="Open Sans" w:hAnsi="Open Sans" w:cs="Open Sans"/>
          <w:b/>
          <w:sz w:val="48"/>
          <w:szCs w:val="48"/>
          <w:lang w:val="en-GB"/>
        </w:rPr>
        <w:t>!</w:t>
      </w:r>
      <w:r w:rsidRPr="00D4307E">
        <w:rPr>
          <w:rFonts w:ascii="Open Sans" w:hAnsi="Open Sans" w:cs="Open Sans"/>
          <w:b/>
          <w:sz w:val="32"/>
          <w:szCs w:val="32"/>
          <w:lang w:val="en-GB"/>
        </w:rPr>
        <w:t xml:space="preserve"> </w:t>
      </w:r>
      <w:r w:rsidRPr="00D4307E">
        <w:rPr>
          <w:rFonts w:ascii="Open Sans" w:hAnsi="Open Sans" w:cs="Open Sans"/>
          <w:b/>
          <w:sz w:val="24"/>
          <w:szCs w:val="24"/>
          <w:lang w:val="en-GB"/>
        </w:rPr>
        <w:t>Special attention</w:t>
      </w:r>
      <w:r w:rsidR="00915835" w:rsidRPr="00D4307E">
        <w:rPr>
          <w:rFonts w:ascii="Open Sans" w:hAnsi="Open Sans" w:cs="Open Sans"/>
          <w:b/>
          <w:sz w:val="24"/>
          <w:szCs w:val="24"/>
          <w:lang w:val="en-GB"/>
        </w:rPr>
        <w:t xml:space="preserve"> to horizontal principles </w:t>
      </w:r>
    </w:p>
    <w:p w14:paraId="255C01F2" w14:textId="77777777" w:rsidR="009639B8" w:rsidRPr="00D4307E" w:rsidRDefault="009639B8" w:rsidP="009639B8">
      <w:pPr>
        <w:pStyle w:val="ListParagraph"/>
        <w:spacing w:after="0"/>
        <w:ind w:left="0"/>
        <w:jc w:val="both"/>
        <w:rPr>
          <w:rFonts w:ascii="Open Sans" w:hAnsi="Open Sans" w:cs="Open Sans"/>
          <w:b/>
          <w:lang w:val="en-GB"/>
        </w:rPr>
      </w:pPr>
    </w:p>
    <w:p w14:paraId="3A6632B2" w14:textId="7230333E" w:rsidR="00915835" w:rsidRPr="00D4307E" w:rsidRDefault="00915835">
      <w:pPr>
        <w:autoSpaceDE w:val="0"/>
        <w:autoSpaceDN w:val="0"/>
        <w:adjustRightInd w:val="0"/>
        <w:spacing w:after="0" w:line="240" w:lineRule="auto"/>
        <w:jc w:val="both"/>
        <w:rPr>
          <w:rFonts w:ascii="Open Sans" w:hAnsi="Open Sans" w:cs="Open Sans"/>
          <w:lang w:val="en-GB"/>
        </w:rPr>
      </w:pPr>
      <w:r w:rsidRPr="00D4307E">
        <w:rPr>
          <w:rFonts w:ascii="Open Sans" w:hAnsi="Open Sans" w:cs="Open Sans"/>
          <w:lang w:val="en-GB"/>
        </w:rPr>
        <w:t>During the implementation of the projects the principle of equal opportunities and non-dis</w:t>
      </w:r>
      <w:r w:rsidR="00A0239C" w:rsidRPr="00D4307E">
        <w:rPr>
          <w:rFonts w:ascii="Open Sans" w:hAnsi="Open Sans" w:cs="Open Sans"/>
          <w:lang w:val="en-GB"/>
        </w:rPr>
        <w:t xml:space="preserve">crimination shall be respected, in order to combat discrimination and to integrate the disadvantaged people in the labour market. </w:t>
      </w:r>
      <w:r w:rsidRPr="00D4307E">
        <w:rPr>
          <w:rFonts w:ascii="Open Sans" w:hAnsi="Open Sans" w:cs="Open Sans"/>
          <w:lang w:val="en-GB"/>
        </w:rPr>
        <w:t>Projects with a direct negative impact on not ensuring equal opportunities and non-discrimination will not be selected for financing.</w:t>
      </w:r>
    </w:p>
    <w:p w14:paraId="7DB3AD0E" w14:textId="77777777" w:rsidR="00915835" w:rsidRPr="00D4307E" w:rsidRDefault="00915835">
      <w:pPr>
        <w:autoSpaceDE w:val="0"/>
        <w:autoSpaceDN w:val="0"/>
        <w:adjustRightInd w:val="0"/>
        <w:spacing w:after="0" w:line="240" w:lineRule="auto"/>
        <w:jc w:val="both"/>
        <w:rPr>
          <w:rFonts w:ascii="Open Sans" w:hAnsi="Open Sans" w:cs="Open Sans"/>
          <w:lang w:val="en-GB"/>
        </w:rPr>
      </w:pPr>
    </w:p>
    <w:p w14:paraId="7102DC7B" w14:textId="5804C713" w:rsidR="00915835" w:rsidRPr="00D4307E" w:rsidRDefault="00915835">
      <w:pPr>
        <w:autoSpaceDE w:val="0"/>
        <w:autoSpaceDN w:val="0"/>
        <w:adjustRightInd w:val="0"/>
        <w:spacing w:after="0" w:line="240" w:lineRule="auto"/>
        <w:jc w:val="both"/>
        <w:rPr>
          <w:rFonts w:ascii="Open Sans" w:hAnsi="Open Sans" w:cs="Open Sans"/>
          <w:lang w:val="en-GB"/>
        </w:rPr>
      </w:pPr>
      <w:r w:rsidRPr="00D4307E">
        <w:rPr>
          <w:rFonts w:ascii="Open Sans" w:hAnsi="Open Sans" w:cs="Open Sans"/>
          <w:lang w:val="en-GB"/>
        </w:rPr>
        <w:t>Special attention will be paid on reinforcing social inclusion of disadvantaged people.</w:t>
      </w:r>
    </w:p>
    <w:p w14:paraId="15D15831" w14:textId="77777777" w:rsidR="00915835" w:rsidRPr="00D4307E" w:rsidRDefault="00915835">
      <w:pPr>
        <w:autoSpaceDE w:val="0"/>
        <w:autoSpaceDN w:val="0"/>
        <w:adjustRightInd w:val="0"/>
        <w:spacing w:after="0" w:line="240" w:lineRule="auto"/>
        <w:jc w:val="both"/>
        <w:rPr>
          <w:rFonts w:ascii="Open Sans" w:hAnsi="Open Sans" w:cs="Open Sans"/>
          <w:lang w:val="en-GB"/>
        </w:rPr>
      </w:pPr>
    </w:p>
    <w:p w14:paraId="1B310CDF" w14:textId="77777777" w:rsidR="00915835" w:rsidRPr="00D4307E" w:rsidRDefault="00915835">
      <w:pPr>
        <w:autoSpaceDE w:val="0"/>
        <w:autoSpaceDN w:val="0"/>
        <w:adjustRightInd w:val="0"/>
        <w:spacing w:after="0" w:line="240" w:lineRule="auto"/>
        <w:jc w:val="both"/>
        <w:rPr>
          <w:rFonts w:ascii="Open Sans" w:hAnsi="Open Sans" w:cs="Open Sans"/>
          <w:lang w:val="en-GB"/>
        </w:rPr>
      </w:pPr>
      <w:r w:rsidRPr="00D4307E">
        <w:rPr>
          <w:rFonts w:ascii="Open Sans" w:hAnsi="Open Sans" w:cs="Open Sans"/>
          <w:lang w:val="en-GB"/>
        </w:rPr>
        <w:t>Where it is feasible, preference may be given on the social inclusion of people living in deep poverty.</w:t>
      </w:r>
    </w:p>
    <w:p w14:paraId="13552A4C" w14:textId="77777777" w:rsidR="00572B45" w:rsidRPr="00D4307E" w:rsidRDefault="00572B45">
      <w:pPr>
        <w:autoSpaceDE w:val="0"/>
        <w:autoSpaceDN w:val="0"/>
        <w:adjustRightInd w:val="0"/>
        <w:spacing w:after="0" w:line="240" w:lineRule="auto"/>
        <w:jc w:val="both"/>
        <w:rPr>
          <w:rFonts w:ascii="Open Sans" w:hAnsi="Open Sans" w:cs="Open Sans"/>
          <w:lang w:val="en-GB"/>
        </w:rPr>
      </w:pPr>
    </w:p>
    <w:p w14:paraId="3C594475" w14:textId="7111AE15" w:rsidR="00495D5F" w:rsidRPr="00D4307E" w:rsidRDefault="00A0239C">
      <w:pPr>
        <w:spacing w:after="200"/>
        <w:jc w:val="both"/>
        <w:rPr>
          <w:rFonts w:ascii="Open Sans" w:hAnsi="Open Sans" w:cs="Open Sans"/>
          <w:lang w:val="en-GB"/>
        </w:rPr>
      </w:pPr>
      <w:r w:rsidRPr="00D4307E">
        <w:rPr>
          <w:rFonts w:ascii="Open Sans" w:hAnsi="Open Sans" w:cs="Open Sans"/>
          <w:lang w:val="en-GB"/>
        </w:rPr>
        <w:t>Besides the overall principle to be ensured stipulated in Chapter 8.2. of the Interreg V-A RO-HU Programme and Chapter 1.2.3</w:t>
      </w:r>
      <w:r w:rsidR="00910A0C" w:rsidRPr="00D4307E">
        <w:rPr>
          <w:rFonts w:ascii="Open Sans" w:hAnsi="Open Sans" w:cs="Open Sans"/>
          <w:lang w:val="en-GB"/>
        </w:rPr>
        <w:t xml:space="preserve"> </w:t>
      </w:r>
      <w:r w:rsidRPr="00D4307E">
        <w:rPr>
          <w:rFonts w:ascii="Open Sans" w:hAnsi="Open Sans" w:cs="Open Sans"/>
          <w:lang w:val="en-GB"/>
        </w:rPr>
        <w:t>Horizontal principles of the G</w:t>
      </w:r>
      <w:r w:rsidR="00910A0C" w:rsidRPr="00D4307E">
        <w:rPr>
          <w:rFonts w:ascii="Open Sans" w:hAnsi="Open Sans" w:cs="Open Sans"/>
          <w:lang w:val="en-GB"/>
        </w:rPr>
        <w:t xml:space="preserve">uide </w:t>
      </w:r>
      <w:r w:rsidRPr="00D4307E">
        <w:rPr>
          <w:rFonts w:ascii="Open Sans" w:hAnsi="Open Sans" w:cs="Open Sans"/>
          <w:lang w:val="en-GB"/>
        </w:rPr>
        <w:t>f</w:t>
      </w:r>
      <w:r w:rsidR="00910A0C" w:rsidRPr="00D4307E">
        <w:rPr>
          <w:rFonts w:ascii="Open Sans" w:hAnsi="Open Sans" w:cs="Open Sans"/>
          <w:lang w:val="en-GB"/>
        </w:rPr>
        <w:t xml:space="preserve">or </w:t>
      </w:r>
      <w:r w:rsidRPr="00D4307E">
        <w:rPr>
          <w:rFonts w:ascii="Open Sans" w:hAnsi="Open Sans" w:cs="Open Sans"/>
          <w:lang w:val="en-GB"/>
        </w:rPr>
        <w:t>A</w:t>
      </w:r>
      <w:r w:rsidR="00910A0C" w:rsidRPr="00D4307E">
        <w:rPr>
          <w:rFonts w:ascii="Open Sans" w:hAnsi="Open Sans" w:cs="Open Sans"/>
          <w:lang w:val="en-GB"/>
        </w:rPr>
        <w:t>pplicants</w:t>
      </w:r>
      <w:r w:rsidRPr="00D4307E">
        <w:rPr>
          <w:rFonts w:ascii="Open Sans" w:hAnsi="Open Sans" w:cs="Open Sans"/>
          <w:lang w:val="en-GB"/>
        </w:rPr>
        <w:t xml:space="preserve">, the projects under Ip 8b will pay attention to the equality between men and </w:t>
      </w:r>
      <w:r w:rsidR="00495D5F" w:rsidRPr="00D4307E">
        <w:rPr>
          <w:rFonts w:ascii="Open Sans" w:hAnsi="Open Sans" w:cs="Open Sans"/>
          <w:lang w:val="en-GB"/>
        </w:rPr>
        <w:t xml:space="preserve">women. </w:t>
      </w:r>
    </w:p>
    <w:p w14:paraId="5A1A7815" w14:textId="47A409C1" w:rsidR="00A0239C" w:rsidRPr="00D4307E" w:rsidRDefault="00495D5F">
      <w:pPr>
        <w:spacing w:after="200"/>
        <w:jc w:val="both"/>
        <w:rPr>
          <w:rFonts w:ascii="Open Sans" w:hAnsi="Open Sans" w:cs="Open Sans"/>
          <w:lang w:val="en-GB"/>
        </w:rPr>
      </w:pPr>
      <w:r w:rsidRPr="00D4307E">
        <w:rPr>
          <w:rFonts w:ascii="Open Sans" w:hAnsi="Open Sans" w:cs="Open Sans"/>
          <w:lang w:val="en-GB"/>
        </w:rPr>
        <w:t>Projects</w:t>
      </w:r>
      <w:r w:rsidR="00A0239C" w:rsidRPr="00D4307E">
        <w:rPr>
          <w:rFonts w:ascii="Open Sans" w:hAnsi="Open Sans" w:cs="Open Sans"/>
          <w:lang w:val="en-GB"/>
        </w:rPr>
        <w:t xml:space="preserve"> with a direct negative impact on equality between men and women will not be selected for financing.</w:t>
      </w:r>
    </w:p>
    <w:p w14:paraId="59E17EE4" w14:textId="77777777" w:rsidR="00155CB1" w:rsidRPr="00D4307E" w:rsidRDefault="00155CB1" w:rsidP="00710010">
      <w:pPr>
        <w:spacing w:after="200"/>
        <w:jc w:val="both"/>
        <w:rPr>
          <w:rFonts w:ascii="Open Sans" w:hAnsi="Open Sans" w:cs="Open Sans"/>
          <w:b/>
          <w:lang w:val="en-GB"/>
        </w:rPr>
      </w:pPr>
    </w:p>
    <w:sectPr w:rsidR="00155CB1" w:rsidRPr="00D4307E" w:rsidSect="00D4307E">
      <w:headerReference w:type="even" r:id="rId10"/>
      <w:headerReference w:type="default" r:id="rId11"/>
      <w:footerReference w:type="even" r:id="rId12"/>
      <w:footerReference w:type="default" r:id="rId13"/>
      <w:headerReference w:type="first" r:id="rId14"/>
      <w:footerReference w:type="first" r:id="rId15"/>
      <w:pgSz w:w="11907" w:h="16839" w:code="9"/>
      <w:pgMar w:top="1440" w:right="1134" w:bottom="993" w:left="1440" w:header="454" w:footer="4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6ACF48" w14:textId="77777777" w:rsidR="00ED64ED" w:rsidRDefault="00ED64ED" w:rsidP="00AF2307">
      <w:pPr>
        <w:spacing w:after="0" w:line="240" w:lineRule="auto"/>
      </w:pPr>
      <w:r>
        <w:separator/>
      </w:r>
    </w:p>
  </w:endnote>
  <w:endnote w:type="continuationSeparator" w:id="0">
    <w:p w14:paraId="663542A1" w14:textId="77777777" w:rsidR="00ED64ED" w:rsidRDefault="00ED64ED" w:rsidP="00AF23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egoe UI Symbol">
    <w:panose1 w:val="020B0502040204020203"/>
    <w:charset w:val="00"/>
    <w:family w:val="swiss"/>
    <w:pitch w:val="variable"/>
    <w:sig w:usb0="8000006F" w:usb1="1200FBEF" w:usb2="0004C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 w:name="Trebuchet MS">
    <w:panose1 w:val="020B0603020202020204"/>
    <w:charset w:val="00"/>
    <w:family w:val="swiss"/>
    <w:pitch w:val="variable"/>
    <w:sig w:usb0="00000287" w:usb1="00000000" w:usb2="00000000" w:usb3="00000000" w:csb0="0000009F" w:csb1="00000000"/>
  </w:font>
  <w:font w:name="TimesNewRomanPSMT">
    <w:panose1 w:val="00000000000000000000"/>
    <w:charset w:val="00"/>
    <w:family w:val="swiss"/>
    <w:notTrueType/>
    <w:pitch w:val="default"/>
    <w:sig w:usb0="00000003" w:usb1="00000000" w:usb2="00000000" w:usb3="00000000" w:csb0="00000001" w:csb1="00000000"/>
  </w:font>
  <w:font w:name="Montserrat Light">
    <w:altName w:val="Arial"/>
    <w:panose1 w:val="00000000000000000000"/>
    <w:charset w:val="00"/>
    <w:family w:val="modern"/>
    <w:notTrueType/>
    <w:pitch w:val="variable"/>
    <w:sig w:usb0="00000001"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BC910D" w14:textId="77777777" w:rsidR="00F06C56" w:rsidRDefault="00F06C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373207"/>
      <w:docPartObj>
        <w:docPartGallery w:val="Page Numbers (Bottom of Page)"/>
        <w:docPartUnique/>
      </w:docPartObj>
    </w:sdtPr>
    <w:sdtEndPr>
      <w:rPr>
        <w:noProof/>
      </w:rPr>
    </w:sdtEndPr>
    <w:sdtContent>
      <w:p w14:paraId="67A87B7C" w14:textId="77777777" w:rsidR="0079079D" w:rsidRDefault="0079079D">
        <w:pPr>
          <w:pStyle w:val="Footer"/>
          <w:jc w:val="right"/>
        </w:pPr>
        <w:r>
          <w:fldChar w:fldCharType="begin"/>
        </w:r>
        <w:r>
          <w:instrText xml:space="preserve"> PAGE   \* MERGEFORMAT </w:instrText>
        </w:r>
        <w:r>
          <w:fldChar w:fldCharType="separate"/>
        </w:r>
        <w:r w:rsidR="00D4307E">
          <w:rPr>
            <w:noProof/>
          </w:rPr>
          <w:t>7</w:t>
        </w:r>
        <w:r>
          <w:rPr>
            <w:noProof/>
          </w:rPr>
          <w:fldChar w:fldCharType="end"/>
        </w:r>
      </w:p>
    </w:sdtContent>
  </w:sdt>
  <w:p w14:paraId="45962B86" w14:textId="77777777" w:rsidR="0079079D" w:rsidRDefault="0079079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7605103"/>
      <w:docPartObj>
        <w:docPartGallery w:val="Page Numbers (Bottom of Page)"/>
        <w:docPartUnique/>
      </w:docPartObj>
    </w:sdtPr>
    <w:sdtEndPr>
      <w:rPr>
        <w:noProof/>
      </w:rPr>
    </w:sdtEndPr>
    <w:sdtContent>
      <w:p w14:paraId="753A07D4" w14:textId="38ECD621" w:rsidR="006E40E1" w:rsidRDefault="006E40E1">
        <w:pPr>
          <w:pStyle w:val="Footer"/>
          <w:jc w:val="right"/>
        </w:pPr>
        <w:r>
          <w:fldChar w:fldCharType="begin"/>
        </w:r>
        <w:r>
          <w:instrText xml:space="preserve"> PAGE   \* MERGEFORMAT </w:instrText>
        </w:r>
        <w:r>
          <w:fldChar w:fldCharType="separate"/>
        </w:r>
        <w:r w:rsidR="00ED64ED">
          <w:rPr>
            <w:noProof/>
          </w:rPr>
          <w:t>1</w:t>
        </w:r>
        <w:r>
          <w:rPr>
            <w:noProof/>
          </w:rPr>
          <w:fldChar w:fldCharType="end"/>
        </w:r>
      </w:p>
    </w:sdtContent>
  </w:sdt>
  <w:p w14:paraId="54568C80" w14:textId="77777777" w:rsidR="006E40E1" w:rsidRDefault="006E40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AB8921" w14:textId="77777777" w:rsidR="00ED64ED" w:rsidRDefault="00ED64ED" w:rsidP="00AF2307">
      <w:pPr>
        <w:spacing w:after="0" w:line="240" w:lineRule="auto"/>
      </w:pPr>
      <w:r>
        <w:separator/>
      </w:r>
    </w:p>
  </w:footnote>
  <w:footnote w:type="continuationSeparator" w:id="0">
    <w:p w14:paraId="37E9E599" w14:textId="77777777" w:rsidR="00ED64ED" w:rsidRDefault="00ED64ED" w:rsidP="00AF2307">
      <w:pPr>
        <w:spacing w:after="0" w:line="240" w:lineRule="auto"/>
      </w:pPr>
      <w:r>
        <w:continuationSeparator/>
      </w:r>
    </w:p>
  </w:footnote>
  <w:footnote w:id="1">
    <w:p w14:paraId="1295427A" w14:textId="135B8955" w:rsidR="001516F7" w:rsidRPr="006A44EE" w:rsidRDefault="001516F7">
      <w:pPr>
        <w:pStyle w:val="FootnoteText"/>
        <w:rPr>
          <w:lang w:val="en-US"/>
        </w:rPr>
      </w:pPr>
      <w:r>
        <w:rPr>
          <w:rStyle w:val="FootnoteReference"/>
        </w:rPr>
        <w:footnoteRef/>
      </w:r>
      <w:r>
        <w:t xml:space="preserve"> </w:t>
      </w:r>
      <w:r w:rsidRPr="006A44EE">
        <w:rPr>
          <w:rFonts w:ascii="Trebuchet MS" w:hAnsi="Trebuchet MS" w:cs="TimesNewRomanPSMT"/>
          <w:lang w:val="en-US"/>
        </w:rPr>
        <w:t>Towns and communes</w:t>
      </w:r>
      <w:r w:rsidR="00910A0C">
        <w:rPr>
          <w:rFonts w:ascii="Trebuchet MS" w:hAnsi="Trebuchet MS" w:cs="TimesNewRomanPSMT"/>
          <w:lang w:val="en-US"/>
        </w:rPr>
        <w:t>,</w:t>
      </w:r>
      <w:r w:rsidRPr="006A44EE">
        <w:rPr>
          <w:rFonts w:ascii="Trebuchet MS" w:hAnsi="Trebuchet MS" w:cs="TimesNewRomanPSMT"/>
          <w:lang w:val="en-US"/>
        </w:rPr>
        <w:t xml:space="preserve"> as defined by the Law 351/2001</w:t>
      </w:r>
      <w:r w:rsidR="00910A0C">
        <w:rPr>
          <w:rFonts w:ascii="Trebuchet MS" w:hAnsi="Trebuchet MS" w:cs="TimesNewRomanPSMT"/>
          <w:lang w:val="en-US"/>
        </w:rPr>
        <w:t>, in Romania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A0892A" w14:textId="77777777" w:rsidR="00F06C56" w:rsidRDefault="00F06C5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B3388" w14:textId="77777777" w:rsidR="00F06C56" w:rsidRDefault="00F06C5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17F183" w14:textId="0F491D0D" w:rsidR="006E40E1" w:rsidRPr="00B72921" w:rsidRDefault="006E40E1" w:rsidP="006E40E1">
    <w:pPr>
      <w:tabs>
        <w:tab w:val="left" w:pos="0"/>
      </w:tabs>
      <w:spacing w:line="240" w:lineRule="auto"/>
      <w:ind w:left="5040" w:hanging="3600"/>
      <w:rPr>
        <w:rFonts w:ascii="Montserrat Light" w:hAnsi="Montserrat Light" w:cs="Open Sans"/>
        <w:bCs/>
        <w:iCs/>
        <w:lang w:val="en-GB"/>
      </w:rPr>
    </w:pPr>
    <w:r w:rsidRPr="00F83AB9">
      <w:rPr>
        <w:noProof/>
        <w:lang w:val="en-US"/>
      </w:rPr>
      <w:drawing>
        <wp:anchor distT="0" distB="0" distL="114300" distR="114300" simplePos="0" relativeHeight="251658240" behindDoc="0" locked="0" layoutInCell="1" allowOverlap="1" wp14:anchorId="688F2115" wp14:editId="55F51904">
          <wp:simplePos x="0" y="0"/>
          <wp:positionH relativeFrom="margin">
            <wp:align>left</wp:align>
          </wp:positionH>
          <wp:positionV relativeFrom="paragraph">
            <wp:posOffset>10795</wp:posOffset>
          </wp:positionV>
          <wp:extent cx="2879725" cy="670560"/>
          <wp:effectExtent l="0" t="0" r="0" b="0"/>
          <wp:wrapSquare wrapText="bothSides"/>
          <wp:docPr id="2" name="Picture 2" descr="F:\RO-HU 2014-2020\Communication tools\_RO-HU identitate vizuala templates\Logo_Interreg_RO_HU\EN\Black and white\Logo_JPG_CMYK_EN_Interreg_Black and wh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O-HU 2014-2020\Communication tools\_RO-HU identitate vizuala templates\Logo_Interreg_RO_HU\EN\Black and white\Logo_JPG_CMYK_EN_Interreg_Black and white.jpg"/>
                  <pic:cNvPicPr>
                    <a:picLocks noChangeAspect="1" noChangeArrowheads="1"/>
                  </pic:cNvPicPr>
                </pic:nvPicPr>
                <pic:blipFill>
                  <a:blip r:embed="rId1" cstate="print">
                    <a:clrChange>
                      <a:clrFrom>
                        <a:srgbClr val="FFFEFD"/>
                      </a:clrFrom>
                      <a:clrTo>
                        <a:srgbClr val="FFFEFD">
                          <a:alpha val="0"/>
                        </a:srgbClr>
                      </a:clrTo>
                    </a:clrChange>
                    <a:extLst>
                      <a:ext uri="{28A0092B-C50C-407E-A947-70E740481C1C}">
                        <a14:useLocalDpi xmlns:a14="http://schemas.microsoft.com/office/drawing/2010/main" val="0"/>
                      </a:ext>
                    </a:extLst>
                  </a:blip>
                  <a:srcRect/>
                  <a:stretch>
                    <a:fillRect/>
                  </a:stretch>
                </pic:blipFill>
                <pic:spPr bwMode="auto">
                  <a:xfrm>
                    <a:off x="0" y="0"/>
                    <a:ext cx="2879725" cy="670560"/>
                  </a:xfrm>
                  <a:prstGeom prst="rect">
                    <a:avLst/>
                  </a:prstGeom>
                  <a:noFill/>
                  <a:ln>
                    <a:noFill/>
                  </a:ln>
                </pic:spPr>
              </pic:pic>
            </a:graphicData>
          </a:graphic>
        </wp:anchor>
      </w:drawing>
    </w:r>
    <w:r>
      <w:rPr>
        <w:rFonts w:ascii="Montserrat Light" w:hAnsi="Montserrat Light" w:cs="Open Sans"/>
        <w:bCs/>
        <w:iCs/>
        <w:color w:val="1F4E79"/>
        <w:lang w:val="en-GB"/>
      </w:rPr>
      <w:tab/>
    </w:r>
    <w:r>
      <w:rPr>
        <w:rFonts w:ascii="Montserrat Light" w:hAnsi="Montserrat Light" w:cs="Open Sans"/>
        <w:bCs/>
        <w:iCs/>
        <w:color w:val="1F4E79"/>
        <w:lang w:val="en-GB"/>
      </w:rPr>
      <w:tab/>
      <w:t xml:space="preserve">     </w:t>
    </w:r>
  </w:p>
  <w:p w14:paraId="0A9906B6" w14:textId="39F56809" w:rsidR="006E40E1" w:rsidRPr="00FE6CE8" w:rsidRDefault="006E40E1" w:rsidP="006E40E1">
    <w:pPr>
      <w:tabs>
        <w:tab w:val="left" w:pos="0"/>
      </w:tabs>
      <w:spacing w:line="240" w:lineRule="auto"/>
      <w:ind w:left="5040" w:hanging="5040"/>
      <w:jc w:val="both"/>
      <w:rPr>
        <w:rFonts w:ascii="Montserrat Light" w:hAnsi="Montserrat Light" w:cs="Arial"/>
        <w:bCs/>
        <w:iCs/>
        <w:color w:val="1F4E79"/>
      </w:rPr>
    </w:pPr>
    <w:r w:rsidRPr="00B72921">
      <w:rPr>
        <w:rFonts w:ascii="Montserrat Light" w:hAnsi="Montserrat Light" w:cs="Arial"/>
        <w:bCs/>
        <w:iCs/>
        <w:lang w:val="en-GB"/>
      </w:rPr>
      <w:tab/>
    </w:r>
    <w:r w:rsidRPr="00B72921">
      <w:rPr>
        <w:rFonts w:ascii="Montserrat Light" w:hAnsi="Montserrat Light" w:cs="Arial"/>
        <w:bCs/>
        <w:iCs/>
        <w:lang w:val="en-GB"/>
      </w:rPr>
      <w:tab/>
    </w:r>
  </w:p>
  <w:p w14:paraId="7C15C653" w14:textId="77777777" w:rsidR="006E40E1" w:rsidRDefault="006E40E1" w:rsidP="00D4307E">
    <w:pPr>
      <w:pStyle w:val="Header"/>
      <w:jc w:val="center"/>
    </w:pPr>
  </w:p>
  <w:p w14:paraId="06DEC452" w14:textId="77777777" w:rsidR="006E40E1" w:rsidRDefault="006E40E1" w:rsidP="00D4307E">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00EC5"/>
    <w:multiLevelType w:val="hybridMultilevel"/>
    <w:tmpl w:val="846C86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C8025A"/>
    <w:multiLevelType w:val="hybridMultilevel"/>
    <w:tmpl w:val="C30C48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E451FD"/>
    <w:multiLevelType w:val="hybridMultilevel"/>
    <w:tmpl w:val="17A42C40"/>
    <w:lvl w:ilvl="0" w:tplc="013EF9B4">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AF6CED2">
      <w:start w:val="1"/>
      <w:numFmt w:val="bullet"/>
      <w:lvlText w:val="o"/>
      <w:lvlJc w:val="left"/>
      <w:pPr>
        <w:ind w:left="16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F185F92">
      <w:start w:val="1"/>
      <w:numFmt w:val="bullet"/>
      <w:lvlText w:val="▪"/>
      <w:lvlJc w:val="left"/>
      <w:pPr>
        <w:ind w:left="23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6AC14C0">
      <w:start w:val="1"/>
      <w:numFmt w:val="bullet"/>
      <w:lvlText w:val="•"/>
      <w:lvlJc w:val="left"/>
      <w:pPr>
        <w:ind w:left="30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BA87524">
      <w:start w:val="1"/>
      <w:numFmt w:val="bullet"/>
      <w:lvlText w:val="o"/>
      <w:lvlJc w:val="left"/>
      <w:pPr>
        <w:ind w:left="37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D6445AE">
      <w:start w:val="1"/>
      <w:numFmt w:val="bullet"/>
      <w:lvlText w:val="▪"/>
      <w:lvlJc w:val="left"/>
      <w:pPr>
        <w:ind w:left="44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EF851D8">
      <w:start w:val="1"/>
      <w:numFmt w:val="bullet"/>
      <w:lvlText w:val="•"/>
      <w:lvlJc w:val="left"/>
      <w:pPr>
        <w:ind w:left="52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8C44162">
      <w:start w:val="1"/>
      <w:numFmt w:val="bullet"/>
      <w:lvlText w:val="o"/>
      <w:lvlJc w:val="left"/>
      <w:pPr>
        <w:ind w:left="59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7BC4794">
      <w:start w:val="1"/>
      <w:numFmt w:val="bullet"/>
      <w:lvlText w:val="▪"/>
      <w:lvlJc w:val="left"/>
      <w:pPr>
        <w:ind w:left="66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nsid w:val="09D61314"/>
    <w:multiLevelType w:val="hybridMultilevel"/>
    <w:tmpl w:val="1FDE00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D716AE"/>
    <w:multiLevelType w:val="hybridMultilevel"/>
    <w:tmpl w:val="771C1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476BF1"/>
    <w:multiLevelType w:val="hybridMultilevel"/>
    <w:tmpl w:val="8E12D846"/>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A33391"/>
    <w:multiLevelType w:val="hybridMultilevel"/>
    <w:tmpl w:val="129427D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9203FE"/>
    <w:multiLevelType w:val="hybridMultilevel"/>
    <w:tmpl w:val="7AAC9DDC"/>
    <w:lvl w:ilvl="0" w:tplc="531E0DB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3893191"/>
    <w:multiLevelType w:val="hybridMultilevel"/>
    <w:tmpl w:val="8A1A7292"/>
    <w:lvl w:ilvl="0" w:tplc="C248D5B6">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022918A">
      <w:start w:val="1"/>
      <w:numFmt w:val="bullet"/>
      <w:lvlText w:val="o"/>
      <w:lvlJc w:val="left"/>
      <w:pPr>
        <w:ind w:left="16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7F67A3A">
      <w:start w:val="1"/>
      <w:numFmt w:val="bullet"/>
      <w:lvlText w:val="▪"/>
      <w:lvlJc w:val="left"/>
      <w:pPr>
        <w:ind w:left="23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080329A">
      <w:start w:val="1"/>
      <w:numFmt w:val="bullet"/>
      <w:lvlText w:val="•"/>
      <w:lvlJc w:val="left"/>
      <w:pPr>
        <w:ind w:left="30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C027BAA">
      <w:start w:val="1"/>
      <w:numFmt w:val="bullet"/>
      <w:lvlText w:val="o"/>
      <w:lvlJc w:val="left"/>
      <w:pPr>
        <w:ind w:left="37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87CE11C">
      <w:start w:val="1"/>
      <w:numFmt w:val="bullet"/>
      <w:lvlText w:val="▪"/>
      <w:lvlJc w:val="left"/>
      <w:pPr>
        <w:ind w:left="44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9B6BB96">
      <w:start w:val="1"/>
      <w:numFmt w:val="bullet"/>
      <w:lvlText w:val="•"/>
      <w:lvlJc w:val="left"/>
      <w:pPr>
        <w:ind w:left="52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DA4A56">
      <w:start w:val="1"/>
      <w:numFmt w:val="bullet"/>
      <w:lvlText w:val="o"/>
      <w:lvlJc w:val="left"/>
      <w:pPr>
        <w:ind w:left="59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37C83E6">
      <w:start w:val="1"/>
      <w:numFmt w:val="bullet"/>
      <w:lvlText w:val="▪"/>
      <w:lvlJc w:val="left"/>
      <w:pPr>
        <w:ind w:left="66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nsid w:val="148C7875"/>
    <w:multiLevelType w:val="multilevel"/>
    <w:tmpl w:val="EF0E898E"/>
    <w:lvl w:ilvl="0">
      <w:start w:val="1"/>
      <w:numFmt w:val="lowerLetter"/>
      <w:pStyle w:val="Bulletletter"/>
      <w:lvlText w:val="(%1)"/>
      <w:lvlJc w:val="left"/>
      <w:pPr>
        <w:ind w:left="18"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8FF29C8"/>
    <w:multiLevelType w:val="hybridMultilevel"/>
    <w:tmpl w:val="20548B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2E403F"/>
    <w:multiLevelType w:val="hybridMultilevel"/>
    <w:tmpl w:val="EB025E5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E613620"/>
    <w:multiLevelType w:val="hybridMultilevel"/>
    <w:tmpl w:val="4D341D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F4164E"/>
    <w:multiLevelType w:val="hybridMultilevel"/>
    <w:tmpl w:val="1BF009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690AB8"/>
    <w:multiLevelType w:val="hybridMultilevel"/>
    <w:tmpl w:val="7FE8680C"/>
    <w:lvl w:ilvl="0" w:tplc="00DA00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1626F6E"/>
    <w:multiLevelType w:val="hybridMultilevel"/>
    <w:tmpl w:val="25744A1E"/>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1AF7D4D"/>
    <w:multiLevelType w:val="multilevel"/>
    <w:tmpl w:val="8A2C3F3E"/>
    <w:lvl w:ilvl="0">
      <w:start w:val="1"/>
      <w:numFmt w:val="bullet"/>
      <w:lvlText w:val=""/>
      <w:lvlJc w:val="left"/>
      <w:pPr>
        <w:ind w:left="18"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33E3FB2"/>
    <w:multiLevelType w:val="hybridMultilevel"/>
    <w:tmpl w:val="7EE0E448"/>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9F4772"/>
    <w:multiLevelType w:val="hybridMultilevel"/>
    <w:tmpl w:val="58F424CE"/>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91543B8"/>
    <w:multiLevelType w:val="hybridMultilevel"/>
    <w:tmpl w:val="7C44C9C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BAA51A7"/>
    <w:multiLevelType w:val="hybridMultilevel"/>
    <w:tmpl w:val="7570D85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C4F1AD4"/>
    <w:multiLevelType w:val="hybridMultilevel"/>
    <w:tmpl w:val="EF0AE758"/>
    <w:lvl w:ilvl="0" w:tplc="F00A73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CDA62DF"/>
    <w:multiLevelType w:val="hybridMultilevel"/>
    <w:tmpl w:val="ADDA0108"/>
    <w:lvl w:ilvl="0" w:tplc="0409000D">
      <w:start w:val="1"/>
      <w:numFmt w:val="bullet"/>
      <w:lvlText w:val=""/>
      <w:lvlJc w:val="left"/>
      <w:pPr>
        <w:ind w:left="720" w:hanging="360"/>
      </w:pPr>
      <w:rPr>
        <w:rFonts w:ascii="Wingdings" w:hAnsi="Wingdings" w:hint="default"/>
      </w:rPr>
    </w:lvl>
    <w:lvl w:ilvl="1" w:tplc="B7582E2C">
      <w:numFmt w:val="bullet"/>
      <w:lvlText w:val=""/>
      <w:lvlJc w:val="left"/>
      <w:pPr>
        <w:ind w:left="1800" w:hanging="720"/>
      </w:pPr>
      <w:rPr>
        <w:rFonts w:ascii="Symbol" w:eastAsiaTheme="minorHAnsi" w:hAnsi="Symbol" w:cs="Arial" w:hint="default"/>
      </w:rPr>
    </w:lvl>
    <w:lvl w:ilvl="2" w:tplc="EC9A7F7C">
      <w:numFmt w:val="bullet"/>
      <w:lvlText w:val="-"/>
      <w:lvlJc w:val="left"/>
      <w:pPr>
        <w:ind w:left="2520" w:hanging="720"/>
      </w:pPr>
      <w:rPr>
        <w:rFonts w:ascii="Arial" w:eastAsiaTheme="minorHAnsi"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D2C320B"/>
    <w:multiLevelType w:val="hybridMultilevel"/>
    <w:tmpl w:val="0F56D0AC"/>
    <w:lvl w:ilvl="0" w:tplc="0409000D">
      <w:start w:val="1"/>
      <w:numFmt w:val="bullet"/>
      <w:lvlText w:val=""/>
      <w:lvlJc w:val="left"/>
      <w:pPr>
        <w:ind w:left="720"/>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6022918A">
      <w:start w:val="1"/>
      <w:numFmt w:val="bullet"/>
      <w:lvlText w:val="o"/>
      <w:lvlJc w:val="left"/>
      <w:pPr>
        <w:ind w:left="16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7F67A3A">
      <w:start w:val="1"/>
      <w:numFmt w:val="bullet"/>
      <w:lvlText w:val="▪"/>
      <w:lvlJc w:val="left"/>
      <w:pPr>
        <w:ind w:left="23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080329A">
      <w:start w:val="1"/>
      <w:numFmt w:val="bullet"/>
      <w:lvlText w:val="•"/>
      <w:lvlJc w:val="left"/>
      <w:pPr>
        <w:ind w:left="30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C027BAA">
      <w:start w:val="1"/>
      <w:numFmt w:val="bullet"/>
      <w:lvlText w:val="o"/>
      <w:lvlJc w:val="left"/>
      <w:pPr>
        <w:ind w:left="37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87CE11C">
      <w:start w:val="1"/>
      <w:numFmt w:val="bullet"/>
      <w:lvlText w:val="▪"/>
      <w:lvlJc w:val="left"/>
      <w:pPr>
        <w:ind w:left="44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9B6BB96">
      <w:start w:val="1"/>
      <w:numFmt w:val="bullet"/>
      <w:lvlText w:val="•"/>
      <w:lvlJc w:val="left"/>
      <w:pPr>
        <w:ind w:left="52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DA4A56">
      <w:start w:val="1"/>
      <w:numFmt w:val="bullet"/>
      <w:lvlText w:val="o"/>
      <w:lvlJc w:val="left"/>
      <w:pPr>
        <w:ind w:left="59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37C83E6">
      <w:start w:val="1"/>
      <w:numFmt w:val="bullet"/>
      <w:lvlText w:val="▪"/>
      <w:lvlJc w:val="left"/>
      <w:pPr>
        <w:ind w:left="66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4">
    <w:nsid w:val="2DE60ED4"/>
    <w:multiLevelType w:val="hybridMultilevel"/>
    <w:tmpl w:val="04745A2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0086EA0"/>
    <w:multiLevelType w:val="hybridMultilevel"/>
    <w:tmpl w:val="5E8695E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32F8230E"/>
    <w:multiLevelType w:val="hybridMultilevel"/>
    <w:tmpl w:val="064CF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3562839"/>
    <w:multiLevelType w:val="hybridMultilevel"/>
    <w:tmpl w:val="A280A1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37B38B1"/>
    <w:multiLevelType w:val="hybridMultilevel"/>
    <w:tmpl w:val="491044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3B570EA"/>
    <w:multiLevelType w:val="hybridMultilevel"/>
    <w:tmpl w:val="0B146D5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8A01BAE"/>
    <w:multiLevelType w:val="hybridMultilevel"/>
    <w:tmpl w:val="A372C28E"/>
    <w:lvl w:ilvl="0" w:tplc="6CBCD8F0">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96E7357"/>
    <w:multiLevelType w:val="hybridMultilevel"/>
    <w:tmpl w:val="35DCA2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9F81380"/>
    <w:multiLevelType w:val="hybridMultilevel"/>
    <w:tmpl w:val="89BC7DE4"/>
    <w:lvl w:ilvl="0" w:tplc="A734F122">
      <w:start w:val="1"/>
      <w:numFmt w:val="decimal"/>
      <w:lvlText w:val="[%1]"/>
      <w:lvlJc w:val="left"/>
      <w:pPr>
        <w:ind w:left="72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21C7EFE">
      <w:start w:val="1"/>
      <w:numFmt w:val="bullet"/>
      <w:lvlText w:val="o"/>
      <w:lvlJc w:val="left"/>
      <w:pPr>
        <w:ind w:left="16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2DCE630">
      <w:start w:val="1"/>
      <w:numFmt w:val="bullet"/>
      <w:lvlText w:val="▪"/>
      <w:lvlJc w:val="left"/>
      <w:pPr>
        <w:ind w:left="23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EF04FA8">
      <w:start w:val="1"/>
      <w:numFmt w:val="bullet"/>
      <w:lvlText w:val="•"/>
      <w:lvlJc w:val="left"/>
      <w:pPr>
        <w:ind w:left="30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D43B0A">
      <w:start w:val="1"/>
      <w:numFmt w:val="bullet"/>
      <w:lvlText w:val="o"/>
      <w:lvlJc w:val="left"/>
      <w:pPr>
        <w:ind w:left="37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FE6B11A">
      <w:start w:val="1"/>
      <w:numFmt w:val="bullet"/>
      <w:lvlText w:val="▪"/>
      <w:lvlJc w:val="left"/>
      <w:pPr>
        <w:ind w:left="44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FC2B3B4">
      <w:start w:val="1"/>
      <w:numFmt w:val="bullet"/>
      <w:lvlText w:val="•"/>
      <w:lvlJc w:val="left"/>
      <w:pPr>
        <w:ind w:left="52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1096A8">
      <w:start w:val="1"/>
      <w:numFmt w:val="bullet"/>
      <w:lvlText w:val="o"/>
      <w:lvlJc w:val="left"/>
      <w:pPr>
        <w:ind w:left="59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10E8DD0">
      <w:start w:val="1"/>
      <w:numFmt w:val="bullet"/>
      <w:lvlText w:val="▪"/>
      <w:lvlJc w:val="left"/>
      <w:pPr>
        <w:ind w:left="66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3">
    <w:nsid w:val="3A0E683E"/>
    <w:multiLevelType w:val="hybridMultilevel"/>
    <w:tmpl w:val="904E8DC6"/>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E66096D"/>
    <w:multiLevelType w:val="hybridMultilevel"/>
    <w:tmpl w:val="9DE8688E"/>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F8B72C6"/>
    <w:multiLevelType w:val="hybridMultilevel"/>
    <w:tmpl w:val="CA3630B2"/>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57312A4"/>
    <w:multiLevelType w:val="hybridMultilevel"/>
    <w:tmpl w:val="BFF4AAE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A7A5FA5"/>
    <w:multiLevelType w:val="hybridMultilevel"/>
    <w:tmpl w:val="F2FA1848"/>
    <w:lvl w:ilvl="0" w:tplc="0846A79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E4BE54">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7F0639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8769E0E">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8AC960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486993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AEAB82">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9602F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6F4772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nsid w:val="4ADD37EC"/>
    <w:multiLevelType w:val="hybridMultilevel"/>
    <w:tmpl w:val="1C02EF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C51067B"/>
    <w:multiLevelType w:val="hybridMultilevel"/>
    <w:tmpl w:val="97ECC4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C8A0125"/>
    <w:multiLevelType w:val="multilevel"/>
    <w:tmpl w:val="E52C80C6"/>
    <w:lvl w:ilvl="0">
      <w:start w:val="1"/>
      <w:numFmt w:val="bullet"/>
      <w:lvlText w:val=""/>
      <w:lvlJc w:val="left"/>
      <w:pPr>
        <w:ind w:left="18"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515B4BD5"/>
    <w:multiLevelType w:val="hybridMultilevel"/>
    <w:tmpl w:val="D166D4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21F3C28"/>
    <w:multiLevelType w:val="hybridMultilevel"/>
    <w:tmpl w:val="EFB226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2624F35"/>
    <w:multiLevelType w:val="hybridMultilevel"/>
    <w:tmpl w:val="BD223D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4214A96"/>
    <w:multiLevelType w:val="hybridMultilevel"/>
    <w:tmpl w:val="616AA6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45E70C6"/>
    <w:multiLevelType w:val="hybridMultilevel"/>
    <w:tmpl w:val="5C14E30A"/>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68B48CB"/>
    <w:multiLevelType w:val="hybridMultilevel"/>
    <w:tmpl w:val="AB5C6EC6"/>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6A70309"/>
    <w:multiLevelType w:val="hybridMultilevel"/>
    <w:tmpl w:val="29AE4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8370BEF"/>
    <w:multiLevelType w:val="hybridMultilevel"/>
    <w:tmpl w:val="94C6E28A"/>
    <w:lvl w:ilvl="0" w:tplc="B7024FE6">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9">
    <w:nsid w:val="588E15F1"/>
    <w:multiLevelType w:val="hybridMultilevel"/>
    <w:tmpl w:val="1770676E"/>
    <w:lvl w:ilvl="0" w:tplc="0409000D">
      <w:start w:val="1"/>
      <w:numFmt w:val="bullet"/>
      <w:lvlText w:val=""/>
      <w:lvlJc w:val="left"/>
      <w:pPr>
        <w:ind w:left="720" w:hanging="360"/>
      </w:pPr>
      <w:rPr>
        <w:rFonts w:ascii="Wingdings" w:hAnsi="Wingdings" w:hint="default"/>
      </w:rPr>
    </w:lvl>
    <w:lvl w:ilvl="1" w:tplc="7A06CDE2">
      <w:start w:val="2"/>
      <w:numFmt w:val="bullet"/>
      <w:lvlText w:val="•"/>
      <w:lvlJc w:val="left"/>
      <w:pPr>
        <w:ind w:left="1800" w:hanging="72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9280AFA"/>
    <w:multiLevelType w:val="hybridMultilevel"/>
    <w:tmpl w:val="AF862996"/>
    <w:lvl w:ilvl="0" w:tplc="04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1">
    <w:nsid w:val="5A4721C3"/>
    <w:multiLevelType w:val="hybridMultilevel"/>
    <w:tmpl w:val="CBCC060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A9015FE"/>
    <w:multiLevelType w:val="hybridMultilevel"/>
    <w:tmpl w:val="B04AA6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D664B63"/>
    <w:multiLevelType w:val="hybridMultilevel"/>
    <w:tmpl w:val="AE08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DDA5059"/>
    <w:multiLevelType w:val="hybridMultilevel"/>
    <w:tmpl w:val="7CCC11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6D955D7"/>
    <w:multiLevelType w:val="hybridMultilevel"/>
    <w:tmpl w:val="B71AD0C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nsid w:val="69AB171E"/>
    <w:multiLevelType w:val="hybridMultilevel"/>
    <w:tmpl w:val="4FFE2B5A"/>
    <w:lvl w:ilvl="0" w:tplc="1AA0CD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A8F36B2"/>
    <w:multiLevelType w:val="hybridMultilevel"/>
    <w:tmpl w:val="F2FAE7A2"/>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B2D7953"/>
    <w:multiLevelType w:val="hybridMultilevel"/>
    <w:tmpl w:val="5044A0E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C067AD3"/>
    <w:multiLevelType w:val="hybridMultilevel"/>
    <w:tmpl w:val="6CE272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00F407E"/>
    <w:multiLevelType w:val="hybridMultilevel"/>
    <w:tmpl w:val="BCF69A4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1313454"/>
    <w:multiLevelType w:val="hybridMultilevel"/>
    <w:tmpl w:val="F578A2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42C7B9B"/>
    <w:multiLevelType w:val="hybridMultilevel"/>
    <w:tmpl w:val="9084810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5550243"/>
    <w:multiLevelType w:val="hybridMultilevel"/>
    <w:tmpl w:val="D6A65664"/>
    <w:lvl w:ilvl="0" w:tplc="D21640C8">
      <w:start w:val="1"/>
      <w:numFmt w:val="bullet"/>
      <w:lvlText w:val="•"/>
      <w:lvlJc w:val="left"/>
      <w:pPr>
        <w:ind w:left="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BDA5852">
      <w:start w:val="1"/>
      <w:numFmt w:val="bullet"/>
      <w:lvlText w:val="o"/>
      <w:lvlJc w:val="left"/>
      <w:pPr>
        <w:ind w:left="16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90A5C80">
      <w:start w:val="1"/>
      <w:numFmt w:val="bullet"/>
      <w:lvlText w:val="▪"/>
      <w:lvlJc w:val="left"/>
      <w:pPr>
        <w:ind w:left="23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EDC0486">
      <w:start w:val="1"/>
      <w:numFmt w:val="bullet"/>
      <w:lvlText w:val="•"/>
      <w:lvlJc w:val="left"/>
      <w:pPr>
        <w:ind w:left="30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2C70A6">
      <w:start w:val="1"/>
      <w:numFmt w:val="bullet"/>
      <w:lvlText w:val="o"/>
      <w:lvlJc w:val="left"/>
      <w:pPr>
        <w:ind w:left="37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994C20E">
      <w:start w:val="1"/>
      <w:numFmt w:val="bullet"/>
      <w:lvlText w:val="▪"/>
      <w:lvlJc w:val="left"/>
      <w:pPr>
        <w:ind w:left="44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7765B0A">
      <w:start w:val="1"/>
      <w:numFmt w:val="bullet"/>
      <w:lvlText w:val="•"/>
      <w:lvlJc w:val="left"/>
      <w:pPr>
        <w:ind w:left="52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1F8C11A">
      <w:start w:val="1"/>
      <w:numFmt w:val="bullet"/>
      <w:lvlText w:val="o"/>
      <w:lvlJc w:val="left"/>
      <w:pPr>
        <w:ind w:left="59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2801546">
      <w:start w:val="1"/>
      <w:numFmt w:val="bullet"/>
      <w:lvlText w:val="▪"/>
      <w:lvlJc w:val="left"/>
      <w:pPr>
        <w:ind w:left="66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4">
    <w:nsid w:val="7930025A"/>
    <w:multiLevelType w:val="hybridMultilevel"/>
    <w:tmpl w:val="D7382C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9AA496C"/>
    <w:multiLevelType w:val="multilevel"/>
    <w:tmpl w:val="CDD024D2"/>
    <w:lvl w:ilvl="0">
      <w:start w:val="1"/>
      <w:numFmt w:val="bullet"/>
      <w:lvlText w:val=""/>
      <w:lvlJc w:val="left"/>
      <w:pPr>
        <w:ind w:left="18"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7B106356"/>
    <w:multiLevelType w:val="hybridMultilevel"/>
    <w:tmpl w:val="2B42C9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7CAD5F64"/>
    <w:multiLevelType w:val="hybridMultilevel"/>
    <w:tmpl w:val="99E2F36E"/>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8">
    <w:nsid w:val="7D4F0728"/>
    <w:multiLevelType w:val="hybridMultilevel"/>
    <w:tmpl w:val="79BA6CE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7F5C4821"/>
    <w:multiLevelType w:val="hybridMultilevel"/>
    <w:tmpl w:val="95B269F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8"/>
  </w:num>
  <w:num w:numId="2">
    <w:abstractNumId w:val="43"/>
  </w:num>
  <w:num w:numId="3">
    <w:abstractNumId w:val="22"/>
  </w:num>
  <w:num w:numId="4">
    <w:abstractNumId w:val="19"/>
  </w:num>
  <w:num w:numId="5">
    <w:abstractNumId w:val="41"/>
  </w:num>
  <w:num w:numId="6">
    <w:abstractNumId w:val="27"/>
  </w:num>
  <w:num w:numId="7">
    <w:abstractNumId w:val="39"/>
  </w:num>
  <w:num w:numId="8">
    <w:abstractNumId w:val="42"/>
  </w:num>
  <w:num w:numId="9">
    <w:abstractNumId w:val="25"/>
  </w:num>
  <w:num w:numId="10">
    <w:abstractNumId w:val="3"/>
  </w:num>
  <w:num w:numId="11">
    <w:abstractNumId w:val="49"/>
  </w:num>
  <w:num w:numId="12">
    <w:abstractNumId w:val="68"/>
  </w:num>
  <w:num w:numId="13">
    <w:abstractNumId w:val="18"/>
  </w:num>
  <w:num w:numId="14">
    <w:abstractNumId w:val="35"/>
  </w:num>
  <w:num w:numId="15">
    <w:abstractNumId w:val="56"/>
  </w:num>
  <w:num w:numId="16">
    <w:abstractNumId w:val="21"/>
  </w:num>
  <w:num w:numId="17">
    <w:abstractNumId w:val="14"/>
  </w:num>
  <w:num w:numId="18">
    <w:abstractNumId w:val="7"/>
  </w:num>
  <w:num w:numId="19">
    <w:abstractNumId w:val="34"/>
  </w:num>
  <w:num w:numId="20">
    <w:abstractNumId w:val="48"/>
  </w:num>
  <w:num w:numId="21">
    <w:abstractNumId w:val="9"/>
  </w:num>
  <w:num w:numId="22">
    <w:abstractNumId w:val="57"/>
  </w:num>
  <w:num w:numId="23">
    <w:abstractNumId w:val="59"/>
  </w:num>
  <w:num w:numId="24">
    <w:abstractNumId w:val="44"/>
  </w:num>
  <w:num w:numId="25">
    <w:abstractNumId w:val="28"/>
  </w:num>
  <w:num w:numId="26">
    <w:abstractNumId w:val="26"/>
  </w:num>
  <w:num w:numId="27">
    <w:abstractNumId w:val="0"/>
  </w:num>
  <w:num w:numId="28">
    <w:abstractNumId w:val="66"/>
  </w:num>
  <w:num w:numId="29">
    <w:abstractNumId w:val="61"/>
  </w:num>
  <w:num w:numId="30">
    <w:abstractNumId w:val="54"/>
  </w:num>
  <w:num w:numId="31">
    <w:abstractNumId w:val="64"/>
  </w:num>
  <w:num w:numId="32">
    <w:abstractNumId w:val="52"/>
  </w:num>
  <w:num w:numId="33">
    <w:abstractNumId w:val="38"/>
  </w:num>
  <w:num w:numId="34">
    <w:abstractNumId w:val="10"/>
  </w:num>
  <w:num w:numId="35">
    <w:abstractNumId w:val="13"/>
  </w:num>
  <w:num w:numId="36">
    <w:abstractNumId w:val="31"/>
  </w:num>
  <w:num w:numId="37">
    <w:abstractNumId w:val="67"/>
  </w:num>
  <w:num w:numId="38">
    <w:abstractNumId w:val="2"/>
  </w:num>
  <w:num w:numId="39">
    <w:abstractNumId w:val="50"/>
  </w:num>
  <w:num w:numId="40">
    <w:abstractNumId w:val="53"/>
  </w:num>
  <w:num w:numId="41">
    <w:abstractNumId w:val="47"/>
  </w:num>
  <w:num w:numId="42">
    <w:abstractNumId w:val="4"/>
  </w:num>
  <w:num w:numId="43">
    <w:abstractNumId w:val="30"/>
  </w:num>
  <w:num w:numId="44">
    <w:abstractNumId w:val="16"/>
  </w:num>
  <w:num w:numId="45">
    <w:abstractNumId w:val="65"/>
  </w:num>
  <w:num w:numId="46">
    <w:abstractNumId w:val="40"/>
  </w:num>
  <w:num w:numId="47">
    <w:abstractNumId w:val="60"/>
  </w:num>
  <w:num w:numId="48">
    <w:abstractNumId w:val="46"/>
  </w:num>
  <w:num w:numId="49">
    <w:abstractNumId w:val="36"/>
  </w:num>
  <w:num w:numId="50">
    <w:abstractNumId w:val="11"/>
  </w:num>
  <w:num w:numId="51">
    <w:abstractNumId w:val="62"/>
  </w:num>
  <w:num w:numId="52">
    <w:abstractNumId w:val="5"/>
  </w:num>
  <w:num w:numId="53">
    <w:abstractNumId w:val="29"/>
  </w:num>
  <w:num w:numId="54">
    <w:abstractNumId w:val="17"/>
  </w:num>
  <w:num w:numId="55">
    <w:abstractNumId w:val="69"/>
  </w:num>
  <w:num w:numId="56">
    <w:abstractNumId w:val="15"/>
  </w:num>
  <w:num w:numId="57">
    <w:abstractNumId w:val="6"/>
  </w:num>
  <w:num w:numId="58">
    <w:abstractNumId w:val="33"/>
  </w:num>
  <w:num w:numId="59">
    <w:abstractNumId w:val="20"/>
  </w:num>
  <w:num w:numId="60">
    <w:abstractNumId w:val="45"/>
  </w:num>
  <w:num w:numId="61">
    <w:abstractNumId w:val="51"/>
  </w:num>
  <w:num w:numId="62">
    <w:abstractNumId w:val="12"/>
  </w:num>
  <w:num w:numId="63">
    <w:abstractNumId w:val="55"/>
  </w:num>
  <w:num w:numId="64">
    <w:abstractNumId w:val="8"/>
  </w:num>
  <w:num w:numId="65">
    <w:abstractNumId w:val="32"/>
  </w:num>
  <w:num w:numId="66">
    <w:abstractNumId w:val="37"/>
  </w:num>
  <w:num w:numId="67">
    <w:abstractNumId w:val="63"/>
  </w:num>
  <w:num w:numId="68">
    <w:abstractNumId w:val="1"/>
  </w:num>
  <w:num w:numId="69">
    <w:abstractNumId w:val="24"/>
  </w:num>
  <w:num w:numId="70">
    <w:abstractNumId w:val="23"/>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solya C.">
    <w15:presenceInfo w15:providerId="None" w15:userId="Orsolya C."/>
  </w15:person>
  <w15:person w15:author="RO-HU MA">
    <w15:presenceInfo w15:providerId="None" w15:userId="RO-HU MA"/>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displayBackgroundShape/>
  <w:trackRevisions/>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1AC"/>
    <w:rsid w:val="00004652"/>
    <w:rsid w:val="00012628"/>
    <w:rsid w:val="00025FCE"/>
    <w:rsid w:val="00050F0D"/>
    <w:rsid w:val="00055F86"/>
    <w:rsid w:val="00056C8A"/>
    <w:rsid w:val="000638F0"/>
    <w:rsid w:val="00071149"/>
    <w:rsid w:val="00075209"/>
    <w:rsid w:val="00080B69"/>
    <w:rsid w:val="00090576"/>
    <w:rsid w:val="000937DE"/>
    <w:rsid w:val="000A2A62"/>
    <w:rsid w:val="000D561D"/>
    <w:rsid w:val="000E3A02"/>
    <w:rsid w:val="000F006B"/>
    <w:rsid w:val="00110F3A"/>
    <w:rsid w:val="001145EC"/>
    <w:rsid w:val="00116AF9"/>
    <w:rsid w:val="00122D0F"/>
    <w:rsid w:val="00131C33"/>
    <w:rsid w:val="00133EDB"/>
    <w:rsid w:val="00140F83"/>
    <w:rsid w:val="00146FB6"/>
    <w:rsid w:val="001516F7"/>
    <w:rsid w:val="001522C0"/>
    <w:rsid w:val="00154957"/>
    <w:rsid w:val="00155CB1"/>
    <w:rsid w:val="00160E0D"/>
    <w:rsid w:val="001639CB"/>
    <w:rsid w:val="00165C31"/>
    <w:rsid w:val="00181EB4"/>
    <w:rsid w:val="00192428"/>
    <w:rsid w:val="001A0512"/>
    <w:rsid w:val="001A233C"/>
    <w:rsid w:val="001A3392"/>
    <w:rsid w:val="001B08FB"/>
    <w:rsid w:val="001C19BC"/>
    <w:rsid w:val="001C4125"/>
    <w:rsid w:val="001E2869"/>
    <w:rsid w:val="001F0D4E"/>
    <w:rsid w:val="001F3D0E"/>
    <w:rsid w:val="002007FB"/>
    <w:rsid w:val="00201B0F"/>
    <w:rsid w:val="0020579A"/>
    <w:rsid w:val="00225B8E"/>
    <w:rsid w:val="0023125B"/>
    <w:rsid w:val="002377D4"/>
    <w:rsid w:val="00246730"/>
    <w:rsid w:val="0025290B"/>
    <w:rsid w:val="002540F0"/>
    <w:rsid w:val="00260987"/>
    <w:rsid w:val="002773D4"/>
    <w:rsid w:val="00296099"/>
    <w:rsid w:val="002A7D4E"/>
    <w:rsid w:val="002C2A7B"/>
    <w:rsid w:val="002C4830"/>
    <w:rsid w:val="002D50F2"/>
    <w:rsid w:val="002E72A5"/>
    <w:rsid w:val="002F1A85"/>
    <w:rsid w:val="002F32B6"/>
    <w:rsid w:val="002F63C3"/>
    <w:rsid w:val="002F7BFE"/>
    <w:rsid w:val="00312B04"/>
    <w:rsid w:val="0031471E"/>
    <w:rsid w:val="00324E21"/>
    <w:rsid w:val="00327E9C"/>
    <w:rsid w:val="003336A7"/>
    <w:rsid w:val="003441DF"/>
    <w:rsid w:val="003555B4"/>
    <w:rsid w:val="00380751"/>
    <w:rsid w:val="00381DED"/>
    <w:rsid w:val="00381F12"/>
    <w:rsid w:val="003858C0"/>
    <w:rsid w:val="00391139"/>
    <w:rsid w:val="00395D3E"/>
    <w:rsid w:val="003B3925"/>
    <w:rsid w:val="003B44F8"/>
    <w:rsid w:val="003B4744"/>
    <w:rsid w:val="003C427A"/>
    <w:rsid w:val="003C5155"/>
    <w:rsid w:val="003D03C6"/>
    <w:rsid w:val="003D4742"/>
    <w:rsid w:val="003E398A"/>
    <w:rsid w:val="003E557E"/>
    <w:rsid w:val="003F0576"/>
    <w:rsid w:val="003F0B2A"/>
    <w:rsid w:val="003F171D"/>
    <w:rsid w:val="00406CCD"/>
    <w:rsid w:val="00410FF8"/>
    <w:rsid w:val="00416CEC"/>
    <w:rsid w:val="00421EE8"/>
    <w:rsid w:val="00435119"/>
    <w:rsid w:val="00445EEB"/>
    <w:rsid w:val="0045726A"/>
    <w:rsid w:val="0047166D"/>
    <w:rsid w:val="00472F62"/>
    <w:rsid w:val="00474764"/>
    <w:rsid w:val="00483B13"/>
    <w:rsid w:val="00495D5F"/>
    <w:rsid w:val="00496F7D"/>
    <w:rsid w:val="004A2BB2"/>
    <w:rsid w:val="004A6593"/>
    <w:rsid w:val="004B5051"/>
    <w:rsid w:val="004C0CAB"/>
    <w:rsid w:val="004C7041"/>
    <w:rsid w:val="004D433D"/>
    <w:rsid w:val="004D5C1E"/>
    <w:rsid w:val="00512FB8"/>
    <w:rsid w:val="00527FD9"/>
    <w:rsid w:val="0053220A"/>
    <w:rsid w:val="00535629"/>
    <w:rsid w:val="00537AD8"/>
    <w:rsid w:val="00542D7C"/>
    <w:rsid w:val="00552B6F"/>
    <w:rsid w:val="00552CB6"/>
    <w:rsid w:val="00553E52"/>
    <w:rsid w:val="0057016D"/>
    <w:rsid w:val="00571254"/>
    <w:rsid w:val="00572B45"/>
    <w:rsid w:val="00573ECF"/>
    <w:rsid w:val="0058133E"/>
    <w:rsid w:val="00590722"/>
    <w:rsid w:val="005926CF"/>
    <w:rsid w:val="00594E7D"/>
    <w:rsid w:val="005B4606"/>
    <w:rsid w:val="005C38BA"/>
    <w:rsid w:val="005D283F"/>
    <w:rsid w:val="005D63F1"/>
    <w:rsid w:val="005E03BD"/>
    <w:rsid w:val="005E070C"/>
    <w:rsid w:val="005E65E9"/>
    <w:rsid w:val="005F095C"/>
    <w:rsid w:val="005F1067"/>
    <w:rsid w:val="0060764D"/>
    <w:rsid w:val="0062360C"/>
    <w:rsid w:val="00636556"/>
    <w:rsid w:val="006517CF"/>
    <w:rsid w:val="00674233"/>
    <w:rsid w:val="006846CA"/>
    <w:rsid w:val="00691DD1"/>
    <w:rsid w:val="00694E6F"/>
    <w:rsid w:val="006A18EA"/>
    <w:rsid w:val="006A2C41"/>
    <w:rsid w:val="006A3FE4"/>
    <w:rsid w:val="006A44EE"/>
    <w:rsid w:val="006C688B"/>
    <w:rsid w:val="006D2B99"/>
    <w:rsid w:val="006E40E1"/>
    <w:rsid w:val="006E5715"/>
    <w:rsid w:val="006E5A0B"/>
    <w:rsid w:val="006F38B6"/>
    <w:rsid w:val="006F5AE3"/>
    <w:rsid w:val="006F65F3"/>
    <w:rsid w:val="00706FD9"/>
    <w:rsid w:val="00707FCF"/>
    <w:rsid w:val="00710010"/>
    <w:rsid w:val="00734534"/>
    <w:rsid w:val="00742BAD"/>
    <w:rsid w:val="00750C31"/>
    <w:rsid w:val="00752697"/>
    <w:rsid w:val="00752706"/>
    <w:rsid w:val="00752FA1"/>
    <w:rsid w:val="0077690A"/>
    <w:rsid w:val="007830AB"/>
    <w:rsid w:val="0079079D"/>
    <w:rsid w:val="00790F6B"/>
    <w:rsid w:val="00792690"/>
    <w:rsid w:val="007A5418"/>
    <w:rsid w:val="007C6BF4"/>
    <w:rsid w:val="007D0E32"/>
    <w:rsid w:val="007E491F"/>
    <w:rsid w:val="007F43EC"/>
    <w:rsid w:val="00801E92"/>
    <w:rsid w:val="00811A63"/>
    <w:rsid w:val="00832F5E"/>
    <w:rsid w:val="0083468A"/>
    <w:rsid w:val="00841F80"/>
    <w:rsid w:val="008660FF"/>
    <w:rsid w:val="00866A50"/>
    <w:rsid w:val="00874DC4"/>
    <w:rsid w:val="00874E22"/>
    <w:rsid w:val="008815BE"/>
    <w:rsid w:val="008828A5"/>
    <w:rsid w:val="008B611C"/>
    <w:rsid w:val="008D1907"/>
    <w:rsid w:val="008D2A54"/>
    <w:rsid w:val="008D3AE2"/>
    <w:rsid w:val="008F4AC2"/>
    <w:rsid w:val="008F51DA"/>
    <w:rsid w:val="0090215E"/>
    <w:rsid w:val="00902FD1"/>
    <w:rsid w:val="00907044"/>
    <w:rsid w:val="00910A0C"/>
    <w:rsid w:val="00915835"/>
    <w:rsid w:val="0092656E"/>
    <w:rsid w:val="00936357"/>
    <w:rsid w:val="00937AD7"/>
    <w:rsid w:val="00945D95"/>
    <w:rsid w:val="00947725"/>
    <w:rsid w:val="00952F1F"/>
    <w:rsid w:val="00953B7C"/>
    <w:rsid w:val="009628B8"/>
    <w:rsid w:val="009639B8"/>
    <w:rsid w:val="009679D9"/>
    <w:rsid w:val="00981031"/>
    <w:rsid w:val="0099135E"/>
    <w:rsid w:val="0099731D"/>
    <w:rsid w:val="009A3ABD"/>
    <w:rsid w:val="009C1240"/>
    <w:rsid w:val="009C14FD"/>
    <w:rsid w:val="009C281D"/>
    <w:rsid w:val="009C303E"/>
    <w:rsid w:val="009C4517"/>
    <w:rsid w:val="009D2AEE"/>
    <w:rsid w:val="009E1084"/>
    <w:rsid w:val="009E3C65"/>
    <w:rsid w:val="009E4D11"/>
    <w:rsid w:val="009E6CCB"/>
    <w:rsid w:val="00A0239C"/>
    <w:rsid w:val="00A05B2F"/>
    <w:rsid w:val="00A07508"/>
    <w:rsid w:val="00A225AA"/>
    <w:rsid w:val="00A45E22"/>
    <w:rsid w:val="00A57033"/>
    <w:rsid w:val="00A63C47"/>
    <w:rsid w:val="00A856BD"/>
    <w:rsid w:val="00A85BC1"/>
    <w:rsid w:val="00A91198"/>
    <w:rsid w:val="00A9297F"/>
    <w:rsid w:val="00A9425C"/>
    <w:rsid w:val="00AA12FD"/>
    <w:rsid w:val="00AB37FE"/>
    <w:rsid w:val="00AD55EA"/>
    <w:rsid w:val="00AE2B98"/>
    <w:rsid w:val="00AE2DE7"/>
    <w:rsid w:val="00AE50A6"/>
    <w:rsid w:val="00AF2307"/>
    <w:rsid w:val="00AF2F6F"/>
    <w:rsid w:val="00AF465F"/>
    <w:rsid w:val="00AF74B9"/>
    <w:rsid w:val="00B062C7"/>
    <w:rsid w:val="00B15A01"/>
    <w:rsid w:val="00B1760A"/>
    <w:rsid w:val="00B22162"/>
    <w:rsid w:val="00B232BA"/>
    <w:rsid w:val="00B24A60"/>
    <w:rsid w:val="00B31A8F"/>
    <w:rsid w:val="00B42168"/>
    <w:rsid w:val="00B51D12"/>
    <w:rsid w:val="00B54DFE"/>
    <w:rsid w:val="00B60576"/>
    <w:rsid w:val="00B62335"/>
    <w:rsid w:val="00B6264D"/>
    <w:rsid w:val="00B70125"/>
    <w:rsid w:val="00B80A1A"/>
    <w:rsid w:val="00B84147"/>
    <w:rsid w:val="00BA5839"/>
    <w:rsid w:val="00BB58F6"/>
    <w:rsid w:val="00BE0FB4"/>
    <w:rsid w:val="00C0517B"/>
    <w:rsid w:val="00C06BD4"/>
    <w:rsid w:val="00C207FF"/>
    <w:rsid w:val="00C2736F"/>
    <w:rsid w:val="00C41754"/>
    <w:rsid w:val="00C4196A"/>
    <w:rsid w:val="00C46205"/>
    <w:rsid w:val="00C74FD3"/>
    <w:rsid w:val="00C76A34"/>
    <w:rsid w:val="00C77218"/>
    <w:rsid w:val="00C9634C"/>
    <w:rsid w:val="00C979BA"/>
    <w:rsid w:val="00CA06E2"/>
    <w:rsid w:val="00CA61C3"/>
    <w:rsid w:val="00CA70A7"/>
    <w:rsid w:val="00CA7AF3"/>
    <w:rsid w:val="00CB37D2"/>
    <w:rsid w:val="00CB4BAC"/>
    <w:rsid w:val="00CC1FB3"/>
    <w:rsid w:val="00CD60E5"/>
    <w:rsid w:val="00CE1A4F"/>
    <w:rsid w:val="00CE3CA2"/>
    <w:rsid w:val="00CE3EFB"/>
    <w:rsid w:val="00CF2FB9"/>
    <w:rsid w:val="00D01C1E"/>
    <w:rsid w:val="00D0267E"/>
    <w:rsid w:val="00D27D90"/>
    <w:rsid w:val="00D42163"/>
    <w:rsid w:val="00D4307E"/>
    <w:rsid w:val="00D527EB"/>
    <w:rsid w:val="00D601AC"/>
    <w:rsid w:val="00D630B5"/>
    <w:rsid w:val="00D65DBD"/>
    <w:rsid w:val="00D826D0"/>
    <w:rsid w:val="00D84B91"/>
    <w:rsid w:val="00D86CCE"/>
    <w:rsid w:val="00DB67CF"/>
    <w:rsid w:val="00DC052A"/>
    <w:rsid w:val="00DC21E0"/>
    <w:rsid w:val="00DC720D"/>
    <w:rsid w:val="00DD5842"/>
    <w:rsid w:val="00DF59E4"/>
    <w:rsid w:val="00E067B1"/>
    <w:rsid w:val="00E100EC"/>
    <w:rsid w:val="00E176DF"/>
    <w:rsid w:val="00E17F25"/>
    <w:rsid w:val="00E22938"/>
    <w:rsid w:val="00E24B80"/>
    <w:rsid w:val="00E26023"/>
    <w:rsid w:val="00E260E8"/>
    <w:rsid w:val="00E3257F"/>
    <w:rsid w:val="00E40358"/>
    <w:rsid w:val="00E410EA"/>
    <w:rsid w:val="00E60510"/>
    <w:rsid w:val="00E64AC8"/>
    <w:rsid w:val="00E67123"/>
    <w:rsid w:val="00E71721"/>
    <w:rsid w:val="00E7329D"/>
    <w:rsid w:val="00E74619"/>
    <w:rsid w:val="00E748CC"/>
    <w:rsid w:val="00E81003"/>
    <w:rsid w:val="00E96B21"/>
    <w:rsid w:val="00EA3BCD"/>
    <w:rsid w:val="00EB5F77"/>
    <w:rsid w:val="00EC03DF"/>
    <w:rsid w:val="00EC3395"/>
    <w:rsid w:val="00ED43BF"/>
    <w:rsid w:val="00ED64ED"/>
    <w:rsid w:val="00EE0649"/>
    <w:rsid w:val="00EE2BEC"/>
    <w:rsid w:val="00EE7816"/>
    <w:rsid w:val="00EF66A5"/>
    <w:rsid w:val="00F003A9"/>
    <w:rsid w:val="00F066F5"/>
    <w:rsid w:val="00F06C56"/>
    <w:rsid w:val="00F11BF4"/>
    <w:rsid w:val="00F25530"/>
    <w:rsid w:val="00F310A0"/>
    <w:rsid w:val="00F519A4"/>
    <w:rsid w:val="00F53773"/>
    <w:rsid w:val="00F53D8B"/>
    <w:rsid w:val="00F632F5"/>
    <w:rsid w:val="00F66504"/>
    <w:rsid w:val="00F724F2"/>
    <w:rsid w:val="00F73017"/>
    <w:rsid w:val="00F81069"/>
    <w:rsid w:val="00F82B5E"/>
    <w:rsid w:val="00F84D89"/>
    <w:rsid w:val="00F85448"/>
    <w:rsid w:val="00F95809"/>
    <w:rsid w:val="00FA1820"/>
    <w:rsid w:val="00FA54CF"/>
    <w:rsid w:val="00FD325A"/>
    <w:rsid w:val="00FE1DF0"/>
    <w:rsid w:val="00FE5938"/>
    <w:rsid w:val="00FF021A"/>
    <w:rsid w:val="00FF064C"/>
    <w:rsid w:val="00FF0FD2"/>
    <w:rsid w:val="00FF6A93"/>
    <w:rsid w:val="00FF7E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A6A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paragraph" w:styleId="Heading1">
    <w:name w:val="heading 1"/>
    <w:basedOn w:val="Normal"/>
    <w:next w:val="Normal"/>
    <w:link w:val="Heading1Char"/>
    <w:uiPriority w:val="9"/>
    <w:qFormat/>
    <w:rsid w:val="00EE7816"/>
    <w:pPr>
      <w:keepNext/>
      <w:keepLines/>
      <w:spacing w:before="480" w:after="0"/>
      <w:outlineLvl w:val="0"/>
    </w:pPr>
    <w:rPr>
      <w:rFonts w:asciiTheme="majorHAnsi" w:eastAsiaTheme="majorEastAsia" w:hAnsiTheme="majorHAnsi" w:cstheme="majorBidi"/>
      <w:b/>
      <w:bCs/>
      <w:color w:val="71941A" w:themeColor="accent1" w:themeShade="BF"/>
      <w:sz w:val="28"/>
      <w:szCs w:val="28"/>
    </w:rPr>
  </w:style>
  <w:style w:type="paragraph" w:styleId="Heading2">
    <w:name w:val="heading 2"/>
    <w:basedOn w:val="Normal"/>
    <w:next w:val="Normal"/>
    <w:link w:val="Heading2Char"/>
    <w:uiPriority w:val="9"/>
    <w:semiHidden/>
    <w:unhideWhenUsed/>
    <w:qFormat/>
    <w:rsid w:val="002F63C3"/>
    <w:pPr>
      <w:keepNext/>
      <w:keepLines/>
      <w:spacing w:before="200" w:after="0"/>
      <w:outlineLvl w:val="1"/>
    </w:pPr>
    <w:rPr>
      <w:rFonts w:asciiTheme="majorHAnsi" w:eastAsiaTheme="majorEastAsia" w:hAnsiTheme="majorHAnsi" w:cstheme="majorBidi"/>
      <w:b/>
      <w:bCs/>
      <w:color w:val="98C723"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7816"/>
    <w:rPr>
      <w:rFonts w:asciiTheme="majorHAnsi" w:eastAsiaTheme="majorEastAsia" w:hAnsiTheme="majorHAnsi" w:cstheme="majorBidi"/>
      <w:b/>
      <w:bCs/>
      <w:color w:val="71941A" w:themeColor="accent1" w:themeShade="BF"/>
      <w:sz w:val="28"/>
      <w:szCs w:val="28"/>
      <w:lang w:val="ro-RO"/>
    </w:rPr>
  </w:style>
  <w:style w:type="paragraph" w:styleId="TOCHeading">
    <w:name w:val="TOC Heading"/>
    <w:basedOn w:val="Heading1"/>
    <w:next w:val="Normal"/>
    <w:uiPriority w:val="39"/>
    <w:unhideWhenUsed/>
    <w:qFormat/>
    <w:rsid w:val="00EE7816"/>
    <w:pPr>
      <w:outlineLvl w:val="9"/>
    </w:pPr>
    <w:rPr>
      <w:lang w:val="en-US" w:eastAsia="ja-JP"/>
    </w:rPr>
  </w:style>
  <w:style w:type="paragraph" w:styleId="BalloonText">
    <w:name w:val="Balloon Text"/>
    <w:basedOn w:val="Normal"/>
    <w:link w:val="BalloonTextChar"/>
    <w:uiPriority w:val="99"/>
    <w:semiHidden/>
    <w:unhideWhenUsed/>
    <w:rsid w:val="00EE78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7816"/>
    <w:rPr>
      <w:rFonts w:ascii="Tahoma" w:hAnsi="Tahoma" w:cs="Tahoma"/>
      <w:sz w:val="16"/>
      <w:szCs w:val="16"/>
      <w:lang w:val="ro-RO"/>
    </w:rPr>
  </w:style>
  <w:style w:type="paragraph" w:styleId="TOC2">
    <w:name w:val="toc 2"/>
    <w:basedOn w:val="Normal"/>
    <w:next w:val="Normal"/>
    <w:autoRedefine/>
    <w:uiPriority w:val="39"/>
    <w:semiHidden/>
    <w:unhideWhenUsed/>
    <w:qFormat/>
    <w:rsid w:val="00EE7816"/>
    <w:pPr>
      <w:spacing w:after="100"/>
      <w:ind w:left="220"/>
    </w:pPr>
    <w:rPr>
      <w:rFonts w:eastAsiaTheme="minorEastAsia"/>
      <w:lang w:val="en-US" w:eastAsia="ja-JP"/>
    </w:rPr>
  </w:style>
  <w:style w:type="paragraph" w:styleId="TOC1">
    <w:name w:val="toc 1"/>
    <w:basedOn w:val="Normal"/>
    <w:next w:val="Normal"/>
    <w:autoRedefine/>
    <w:uiPriority w:val="39"/>
    <w:semiHidden/>
    <w:unhideWhenUsed/>
    <w:qFormat/>
    <w:rsid w:val="00EE7816"/>
    <w:pPr>
      <w:spacing w:after="100"/>
    </w:pPr>
    <w:rPr>
      <w:rFonts w:eastAsiaTheme="minorEastAsia"/>
      <w:lang w:val="en-US" w:eastAsia="ja-JP"/>
    </w:rPr>
  </w:style>
  <w:style w:type="paragraph" w:styleId="TOC3">
    <w:name w:val="toc 3"/>
    <w:basedOn w:val="Normal"/>
    <w:next w:val="Normal"/>
    <w:autoRedefine/>
    <w:uiPriority w:val="39"/>
    <w:semiHidden/>
    <w:unhideWhenUsed/>
    <w:qFormat/>
    <w:rsid w:val="00EE7816"/>
    <w:pPr>
      <w:spacing w:after="100"/>
      <w:ind w:left="440"/>
    </w:pPr>
    <w:rPr>
      <w:rFonts w:eastAsiaTheme="minorEastAsia"/>
      <w:lang w:val="en-US" w:eastAsia="ja-JP"/>
    </w:rPr>
  </w:style>
  <w:style w:type="paragraph" w:styleId="ListParagraph">
    <w:name w:val="List Paragraph"/>
    <w:basedOn w:val="Normal"/>
    <w:uiPriority w:val="34"/>
    <w:qFormat/>
    <w:rsid w:val="00EE7816"/>
    <w:pPr>
      <w:ind w:left="720"/>
      <w:contextualSpacing/>
    </w:pPr>
  </w:style>
  <w:style w:type="table" w:styleId="TableGrid">
    <w:name w:val="Table Grid"/>
    <w:basedOn w:val="TableNormal"/>
    <w:uiPriority w:val="59"/>
    <w:rsid w:val="00EE78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EE7816"/>
    <w:pPr>
      <w:spacing w:after="0" w:line="240" w:lineRule="auto"/>
    </w:pPr>
    <w:tblPr>
      <w:tblStyleRowBandSize w:val="1"/>
      <w:tblStyleColBandSize w:val="1"/>
      <w:tblInd w:w="0" w:type="dxa"/>
      <w:tblBorders>
        <w:top w:val="single" w:sz="8" w:space="0" w:color="98C723" w:themeColor="accent1"/>
        <w:left w:val="single" w:sz="8" w:space="0" w:color="98C723" w:themeColor="accent1"/>
        <w:bottom w:val="single" w:sz="8" w:space="0" w:color="98C723" w:themeColor="accent1"/>
        <w:right w:val="single" w:sz="8" w:space="0" w:color="98C723"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8C723" w:themeFill="accent1"/>
      </w:tcPr>
    </w:tblStylePr>
    <w:tblStylePr w:type="lastRow">
      <w:pPr>
        <w:spacing w:before="0" w:after="0" w:line="240" w:lineRule="auto"/>
      </w:pPr>
      <w:rPr>
        <w:b/>
        <w:bCs/>
      </w:rPr>
      <w:tblPr/>
      <w:tcPr>
        <w:tcBorders>
          <w:top w:val="double" w:sz="6" w:space="0" w:color="98C723" w:themeColor="accent1"/>
          <w:left w:val="single" w:sz="8" w:space="0" w:color="98C723" w:themeColor="accent1"/>
          <w:bottom w:val="single" w:sz="8" w:space="0" w:color="98C723" w:themeColor="accent1"/>
          <w:right w:val="single" w:sz="8" w:space="0" w:color="98C723" w:themeColor="accent1"/>
        </w:tcBorders>
      </w:tcPr>
    </w:tblStylePr>
    <w:tblStylePr w:type="firstCol">
      <w:rPr>
        <w:b/>
        <w:bCs/>
      </w:rPr>
    </w:tblStylePr>
    <w:tblStylePr w:type="lastCol">
      <w:rPr>
        <w:b/>
        <w:bCs/>
      </w:rPr>
    </w:tblStylePr>
    <w:tblStylePr w:type="band1Vert">
      <w:tblPr/>
      <w:tcPr>
        <w:tcBorders>
          <w:top w:val="single" w:sz="8" w:space="0" w:color="98C723" w:themeColor="accent1"/>
          <w:left w:val="single" w:sz="8" w:space="0" w:color="98C723" w:themeColor="accent1"/>
          <w:bottom w:val="single" w:sz="8" w:space="0" w:color="98C723" w:themeColor="accent1"/>
          <w:right w:val="single" w:sz="8" w:space="0" w:color="98C723" w:themeColor="accent1"/>
        </w:tcBorders>
      </w:tcPr>
    </w:tblStylePr>
    <w:tblStylePr w:type="band1Horz">
      <w:tblPr/>
      <w:tcPr>
        <w:tcBorders>
          <w:top w:val="single" w:sz="8" w:space="0" w:color="98C723" w:themeColor="accent1"/>
          <w:left w:val="single" w:sz="8" w:space="0" w:color="98C723" w:themeColor="accent1"/>
          <w:bottom w:val="single" w:sz="8" w:space="0" w:color="98C723" w:themeColor="accent1"/>
          <w:right w:val="single" w:sz="8" w:space="0" w:color="98C723" w:themeColor="accent1"/>
        </w:tcBorders>
      </w:tcPr>
    </w:tblStylePr>
  </w:style>
  <w:style w:type="character" w:customStyle="1" w:styleId="Heading2Char">
    <w:name w:val="Heading 2 Char"/>
    <w:basedOn w:val="DefaultParagraphFont"/>
    <w:link w:val="Heading2"/>
    <w:uiPriority w:val="9"/>
    <w:semiHidden/>
    <w:rsid w:val="002F63C3"/>
    <w:rPr>
      <w:rFonts w:asciiTheme="majorHAnsi" w:eastAsiaTheme="majorEastAsia" w:hAnsiTheme="majorHAnsi" w:cstheme="majorBidi"/>
      <w:b/>
      <w:bCs/>
      <w:color w:val="98C723" w:themeColor="accent1"/>
      <w:sz w:val="26"/>
      <w:szCs w:val="26"/>
      <w:lang w:val="ro-RO"/>
    </w:rPr>
  </w:style>
  <w:style w:type="paragraph" w:styleId="FootnoteText">
    <w:name w:val="footnote text"/>
    <w:basedOn w:val="Normal"/>
    <w:link w:val="FootnoteTextChar"/>
    <w:uiPriority w:val="99"/>
    <w:semiHidden/>
    <w:unhideWhenUsed/>
    <w:rsid w:val="00AF23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2307"/>
    <w:rPr>
      <w:sz w:val="20"/>
      <w:szCs w:val="20"/>
      <w:lang w:val="ro-RO"/>
    </w:rPr>
  </w:style>
  <w:style w:type="character" w:styleId="FootnoteReference">
    <w:name w:val="footnote reference"/>
    <w:basedOn w:val="DefaultParagraphFont"/>
    <w:uiPriority w:val="99"/>
    <w:semiHidden/>
    <w:unhideWhenUsed/>
    <w:rsid w:val="00AF2307"/>
    <w:rPr>
      <w:vertAlign w:val="superscript"/>
    </w:rPr>
  </w:style>
  <w:style w:type="paragraph" w:customStyle="1" w:styleId="AddressTR">
    <w:name w:val="AddressTR"/>
    <w:basedOn w:val="Normal"/>
    <w:next w:val="Normal"/>
    <w:rsid w:val="00AF2307"/>
    <w:pPr>
      <w:spacing w:after="720" w:line="240" w:lineRule="auto"/>
      <w:ind w:left="5103"/>
    </w:pPr>
    <w:rPr>
      <w:rFonts w:ascii="Calibri" w:eastAsia="Times New Roman" w:hAnsi="Calibri" w:cs="Times New Roman"/>
      <w:sz w:val="24"/>
      <w:szCs w:val="24"/>
      <w:lang w:val="en-GB" w:eastAsia="en-GB"/>
    </w:rPr>
  </w:style>
  <w:style w:type="paragraph" w:styleId="Header">
    <w:name w:val="header"/>
    <w:basedOn w:val="Normal"/>
    <w:link w:val="HeaderChar"/>
    <w:uiPriority w:val="99"/>
    <w:unhideWhenUsed/>
    <w:rsid w:val="00D026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267E"/>
    <w:rPr>
      <w:lang w:val="ro-RO"/>
    </w:rPr>
  </w:style>
  <w:style w:type="paragraph" w:styleId="Footer">
    <w:name w:val="footer"/>
    <w:basedOn w:val="Normal"/>
    <w:link w:val="FooterChar"/>
    <w:uiPriority w:val="99"/>
    <w:unhideWhenUsed/>
    <w:rsid w:val="00D026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267E"/>
    <w:rPr>
      <w:lang w:val="ro-RO"/>
    </w:rPr>
  </w:style>
  <w:style w:type="table" w:styleId="LightShading-Accent3">
    <w:name w:val="Light Shading Accent 3"/>
    <w:basedOn w:val="TableNormal"/>
    <w:uiPriority w:val="60"/>
    <w:rsid w:val="00B232BA"/>
    <w:pPr>
      <w:spacing w:after="0" w:line="240" w:lineRule="auto"/>
    </w:pPr>
    <w:rPr>
      <w:color w:val="A68100" w:themeColor="accent3" w:themeShade="BF"/>
    </w:rPr>
    <w:tblPr>
      <w:tblStyleRowBandSize w:val="1"/>
      <w:tblStyleColBandSize w:val="1"/>
      <w:tblInd w:w="0" w:type="dxa"/>
      <w:tblBorders>
        <w:top w:val="single" w:sz="8" w:space="0" w:color="DEAE00" w:themeColor="accent3"/>
        <w:bottom w:val="single" w:sz="8" w:space="0" w:color="DEAE00"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DEAE00" w:themeColor="accent3"/>
          <w:left w:val="nil"/>
          <w:bottom w:val="single" w:sz="8" w:space="0" w:color="DEAE00" w:themeColor="accent3"/>
          <w:right w:val="nil"/>
          <w:insideH w:val="nil"/>
          <w:insideV w:val="nil"/>
        </w:tcBorders>
      </w:tcPr>
    </w:tblStylePr>
    <w:tblStylePr w:type="lastRow">
      <w:pPr>
        <w:spacing w:before="0" w:after="0" w:line="240" w:lineRule="auto"/>
      </w:pPr>
      <w:rPr>
        <w:b/>
        <w:bCs/>
      </w:rPr>
      <w:tblPr/>
      <w:tcPr>
        <w:tcBorders>
          <w:top w:val="single" w:sz="8" w:space="0" w:color="DEAE00" w:themeColor="accent3"/>
          <w:left w:val="nil"/>
          <w:bottom w:val="single" w:sz="8" w:space="0" w:color="DEAE0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B7" w:themeFill="accent3" w:themeFillTint="3F"/>
      </w:tcPr>
    </w:tblStylePr>
    <w:tblStylePr w:type="band1Horz">
      <w:tblPr/>
      <w:tcPr>
        <w:tcBorders>
          <w:left w:val="nil"/>
          <w:right w:val="nil"/>
          <w:insideH w:val="nil"/>
          <w:insideV w:val="nil"/>
        </w:tcBorders>
        <w:shd w:val="clear" w:color="auto" w:fill="FFEFB7" w:themeFill="accent3" w:themeFillTint="3F"/>
      </w:tcPr>
    </w:tblStylePr>
  </w:style>
  <w:style w:type="table" w:styleId="LightShading-Accent5">
    <w:name w:val="Light Shading Accent 5"/>
    <w:basedOn w:val="TableNormal"/>
    <w:uiPriority w:val="60"/>
    <w:rsid w:val="00B232BA"/>
    <w:pPr>
      <w:spacing w:after="0" w:line="240" w:lineRule="auto"/>
    </w:pPr>
    <w:rPr>
      <w:color w:val="B7541D" w:themeColor="accent5" w:themeShade="BF"/>
    </w:rPr>
    <w:tblPr>
      <w:tblStyleRowBandSize w:val="1"/>
      <w:tblStyleColBandSize w:val="1"/>
      <w:tblInd w:w="0" w:type="dxa"/>
      <w:tblBorders>
        <w:top w:val="single" w:sz="8" w:space="0" w:color="E0773C" w:themeColor="accent5"/>
        <w:bottom w:val="single" w:sz="8" w:space="0" w:color="E0773C"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0773C" w:themeColor="accent5"/>
          <w:left w:val="nil"/>
          <w:bottom w:val="single" w:sz="8" w:space="0" w:color="E0773C" w:themeColor="accent5"/>
          <w:right w:val="nil"/>
          <w:insideH w:val="nil"/>
          <w:insideV w:val="nil"/>
        </w:tcBorders>
      </w:tcPr>
    </w:tblStylePr>
    <w:tblStylePr w:type="lastRow">
      <w:pPr>
        <w:spacing w:before="0" w:after="0" w:line="240" w:lineRule="auto"/>
      </w:pPr>
      <w:rPr>
        <w:b/>
        <w:bCs/>
      </w:rPr>
      <w:tblPr/>
      <w:tcPr>
        <w:tcBorders>
          <w:top w:val="single" w:sz="8" w:space="0" w:color="E0773C" w:themeColor="accent5"/>
          <w:left w:val="nil"/>
          <w:bottom w:val="single" w:sz="8" w:space="0" w:color="E0773C"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DDCE" w:themeFill="accent5" w:themeFillTint="3F"/>
      </w:tcPr>
    </w:tblStylePr>
    <w:tblStylePr w:type="band1Horz">
      <w:tblPr/>
      <w:tcPr>
        <w:tcBorders>
          <w:left w:val="nil"/>
          <w:right w:val="nil"/>
          <w:insideH w:val="nil"/>
          <w:insideV w:val="nil"/>
        </w:tcBorders>
        <w:shd w:val="clear" w:color="auto" w:fill="F7DDCE" w:themeFill="accent5" w:themeFillTint="3F"/>
      </w:tcPr>
    </w:tblStylePr>
  </w:style>
  <w:style w:type="table" w:styleId="LightGrid-Accent1">
    <w:name w:val="Light Grid Accent 1"/>
    <w:basedOn w:val="TableNormal"/>
    <w:uiPriority w:val="62"/>
    <w:rsid w:val="00B232BA"/>
    <w:pPr>
      <w:spacing w:after="0" w:line="240" w:lineRule="auto"/>
    </w:pPr>
    <w:tblPr>
      <w:tblStyleRowBandSize w:val="1"/>
      <w:tblStyleColBandSize w:val="1"/>
      <w:tblInd w:w="0" w:type="dxa"/>
      <w:tblBorders>
        <w:top w:val="single" w:sz="8" w:space="0" w:color="98C723" w:themeColor="accent1"/>
        <w:left w:val="single" w:sz="8" w:space="0" w:color="98C723" w:themeColor="accent1"/>
        <w:bottom w:val="single" w:sz="8" w:space="0" w:color="98C723" w:themeColor="accent1"/>
        <w:right w:val="single" w:sz="8" w:space="0" w:color="98C723" w:themeColor="accent1"/>
        <w:insideH w:val="single" w:sz="8" w:space="0" w:color="98C723" w:themeColor="accent1"/>
        <w:insideV w:val="single" w:sz="8" w:space="0" w:color="98C723"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8C723" w:themeColor="accent1"/>
          <w:left w:val="single" w:sz="8" w:space="0" w:color="98C723" w:themeColor="accent1"/>
          <w:bottom w:val="single" w:sz="18" w:space="0" w:color="98C723" w:themeColor="accent1"/>
          <w:right w:val="single" w:sz="8" w:space="0" w:color="98C723" w:themeColor="accent1"/>
          <w:insideH w:val="nil"/>
          <w:insideV w:val="single" w:sz="8" w:space="0" w:color="98C723"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8C723" w:themeColor="accent1"/>
          <w:left w:val="single" w:sz="8" w:space="0" w:color="98C723" w:themeColor="accent1"/>
          <w:bottom w:val="single" w:sz="8" w:space="0" w:color="98C723" w:themeColor="accent1"/>
          <w:right w:val="single" w:sz="8" w:space="0" w:color="98C723" w:themeColor="accent1"/>
          <w:insideH w:val="nil"/>
          <w:insideV w:val="single" w:sz="8" w:space="0" w:color="98C723"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8C723" w:themeColor="accent1"/>
          <w:left w:val="single" w:sz="8" w:space="0" w:color="98C723" w:themeColor="accent1"/>
          <w:bottom w:val="single" w:sz="8" w:space="0" w:color="98C723" w:themeColor="accent1"/>
          <w:right w:val="single" w:sz="8" w:space="0" w:color="98C723" w:themeColor="accent1"/>
        </w:tcBorders>
      </w:tcPr>
    </w:tblStylePr>
    <w:tblStylePr w:type="band1Vert">
      <w:tblPr/>
      <w:tcPr>
        <w:tcBorders>
          <w:top w:val="single" w:sz="8" w:space="0" w:color="98C723" w:themeColor="accent1"/>
          <w:left w:val="single" w:sz="8" w:space="0" w:color="98C723" w:themeColor="accent1"/>
          <w:bottom w:val="single" w:sz="8" w:space="0" w:color="98C723" w:themeColor="accent1"/>
          <w:right w:val="single" w:sz="8" w:space="0" w:color="98C723" w:themeColor="accent1"/>
        </w:tcBorders>
        <w:shd w:val="clear" w:color="auto" w:fill="E6F4C4" w:themeFill="accent1" w:themeFillTint="3F"/>
      </w:tcPr>
    </w:tblStylePr>
    <w:tblStylePr w:type="band1Horz">
      <w:tblPr/>
      <w:tcPr>
        <w:tcBorders>
          <w:top w:val="single" w:sz="8" w:space="0" w:color="98C723" w:themeColor="accent1"/>
          <w:left w:val="single" w:sz="8" w:space="0" w:color="98C723" w:themeColor="accent1"/>
          <w:bottom w:val="single" w:sz="8" w:space="0" w:color="98C723" w:themeColor="accent1"/>
          <w:right w:val="single" w:sz="8" w:space="0" w:color="98C723" w:themeColor="accent1"/>
          <w:insideV w:val="single" w:sz="8" w:space="0" w:color="98C723" w:themeColor="accent1"/>
        </w:tcBorders>
        <w:shd w:val="clear" w:color="auto" w:fill="E6F4C4" w:themeFill="accent1" w:themeFillTint="3F"/>
      </w:tcPr>
    </w:tblStylePr>
    <w:tblStylePr w:type="band2Horz">
      <w:tblPr/>
      <w:tcPr>
        <w:tcBorders>
          <w:top w:val="single" w:sz="8" w:space="0" w:color="98C723" w:themeColor="accent1"/>
          <w:left w:val="single" w:sz="8" w:space="0" w:color="98C723" w:themeColor="accent1"/>
          <w:bottom w:val="single" w:sz="8" w:space="0" w:color="98C723" w:themeColor="accent1"/>
          <w:right w:val="single" w:sz="8" w:space="0" w:color="98C723" w:themeColor="accent1"/>
          <w:insideV w:val="single" w:sz="8" w:space="0" w:color="98C723" w:themeColor="accent1"/>
        </w:tcBorders>
      </w:tcPr>
    </w:tblStylePr>
  </w:style>
  <w:style w:type="character" w:styleId="Hyperlink">
    <w:name w:val="Hyperlink"/>
    <w:basedOn w:val="DefaultParagraphFont"/>
    <w:uiPriority w:val="99"/>
    <w:unhideWhenUsed/>
    <w:rsid w:val="006F5AE3"/>
    <w:rPr>
      <w:color w:val="26CBEC" w:themeColor="hyperlink"/>
      <w:u w:val="single"/>
    </w:rPr>
  </w:style>
  <w:style w:type="paragraph" w:customStyle="1" w:styleId="Guidelines5">
    <w:name w:val="Guidelines 5"/>
    <w:basedOn w:val="Normal"/>
    <w:rsid w:val="00FF6A93"/>
    <w:pPr>
      <w:keepNext/>
      <w:spacing w:before="240" w:after="240" w:line="240" w:lineRule="auto"/>
      <w:jc w:val="both"/>
    </w:pPr>
    <w:rPr>
      <w:rFonts w:ascii="Verdana" w:eastAsia="Times New Roman" w:hAnsi="Verdana" w:cs="Times New Roman"/>
      <w:b/>
      <w:noProof/>
      <w:snapToGrid w:val="0"/>
      <w:sz w:val="24"/>
      <w:szCs w:val="20"/>
    </w:rPr>
  </w:style>
  <w:style w:type="paragraph" w:customStyle="1" w:styleId="Bulletletter">
    <w:name w:val="Bullet letter"/>
    <w:basedOn w:val="Normal"/>
    <w:rsid w:val="00FF6A93"/>
    <w:pPr>
      <w:keepNext/>
      <w:numPr>
        <w:numId w:val="21"/>
      </w:numPr>
      <w:tabs>
        <w:tab w:val="left" w:pos="-3402"/>
        <w:tab w:val="num" w:pos="567"/>
      </w:tabs>
      <w:spacing w:line="240" w:lineRule="auto"/>
      <w:ind w:left="567" w:hanging="567"/>
      <w:jc w:val="both"/>
    </w:pPr>
    <w:rPr>
      <w:rFonts w:ascii="Arial" w:eastAsia="Times New Roman" w:hAnsi="Arial" w:cs="Times New Roman"/>
      <w:szCs w:val="20"/>
      <w:lang w:val="en-IE"/>
    </w:rPr>
  </w:style>
  <w:style w:type="character" w:styleId="CommentReference">
    <w:name w:val="annotation reference"/>
    <w:basedOn w:val="DefaultParagraphFont"/>
    <w:uiPriority w:val="99"/>
    <w:semiHidden/>
    <w:unhideWhenUsed/>
    <w:rsid w:val="001522C0"/>
    <w:rPr>
      <w:sz w:val="16"/>
      <w:szCs w:val="16"/>
    </w:rPr>
  </w:style>
  <w:style w:type="paragraph" w:styleId="CommentText">
    <w:name w:val="annotation text"/>
    <w:basedOn w:val="Normal"/>
    <w:link w:val="CommentTextChar"/>
    <w:uiPriority w:val="99"/>
    <w:semiHidden/>
    <w:unhideWhenUsed/>
    <w:rsid w:val="001522C0"/>
    <w:pPr>
      <w:spacing w:line="240" w:lineRule="auto"/>
    </w:pPr>
    <w:rPr>
      <w:sz w:val="20"/>
      <w:szCs w:val="20"/>
    </w:rPr>
  </w:style>
  <w:style w:type="character" w:customStyle="1" w:styleId="CommentTextChar">
    <w:name w:val="Comment Text Char"/>
    <w:basedOn w:val="DefaultParagraphFont"/>
    <w:link w:val="CommentText"/>
    <w:uiPriority w:val="99"/>
    <w:semiHidden/>
    <w:rsid w:val="001522C0"/>
    <w:rPr>
      <w:sz w:val="20"/>
      <w:szCs w:val="20"/>
      <w:lang w:val="ro-RO"/>
    </w:rPr>
  </w:style>
  <w:style w:type="paragraph" w:styleId="CommentSubject">
    <w:name w:val="annotation subject"/>
    <w:basedOn w:val="CommentText"/>
    <w:next w:val="CommentText"/>
    <w:link w:val="CommentSubjectChar"/>
    <w:uiPriority w:val="99"/>
    <w:semiHidden/>
    <w:unhideWhenUsed/>
    <w:rsid w:val="001522C0"/>
    <w:rPr>
      <w:b/>
      <w:bCs/>
    </w:rPr>
  </w:style>
  <w:style w:type="character" w:customStyle="1" w:styleId="CommentSubjectChar">
    <w:name w:val="Comment Subject Char"/>
    <w:basedOn w:val="CommentTextChar"/>
    <w:link w:val="CommentSubject"/>
    <w:uiPriority w:val="99"/>
    <w:semiHidden/>
    <w:rsid w:val="001522C0"/>
    <w:rPr>
      <w:b/>
      <w:bCs/>
      <w:sz w:val="20"/>
      <w:szCs w:val="20"/>
      <w:lang w:val="ro-RO"/>
    </w:rPr>
  </w:style>
  <w:style w:type="paragraph" w:customStyle="1" w:styleId="Default">
    <w:name w:val="Default"/>
    <w:rsid w:val="0099731D"/>
    <w:pPr>
      <w:autoSpaceDE w:val="0"/>
      <w:autoSpaceDN w:val="0"/>
      <w:adjustRightInd w:val="0"/>
      <w:spacing w:after="0" w:line="240" w:lineRule="auto"/>
    </w:pPr>
    <w:rPr>
      <w:rFonts w:ascii="Calibri" w:hAnsi="Calibri" w:cs="Calibri"/>
      <w:color w:val="000000"/>
      <w:sz w:val="24"/>
      <w:szCs w:val="24"/>
    </w:rPr>
  </w:style>
  <w:style w:type="table" w:styleId="LightShading-Accent1">
    <w:name w:val="Light Shading Accent 1"/>
    <w:basedOn w:val="TableNormal"/>
    <w:uiPriority w:val="60"/>
    <w:rsid w:val="00F73017"/>
    <w:pPr>
      <w:spacing w:after="0" w:line="240" w:lineRule="auto"/>
    </w:pPr>
    <w:rPr>
      <w:color w:val="71941A" w:themeColor="accent1" w:themeShade="BF"/>
    </w:rPr>
    <w:tblPr>
      <w:tblStyleRowBandSize w:val="1"/>
      <w:tblStyleColBandSize w:val="1"/>
      <w:tblInd w:w="0" w:type="dxa"/>
      <w:tblBorders>
        <w:top w:val="single" w:sz="8" w:space="0" w:color="98C723" w:themeColor="accent1"/>
        <w:bottom w:val="single" w:sz="8" w:space="0" w:color="98C723"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8C723" w:themeColor="accent1"/>
          <w:left w:val="nil"/>
          <w:bottom w:val="single" w:sz="8" w:space="0" w:color="98C723" w:themeColor="accent1"/>
          <w:right w:val="nil"/>
          <w:insideH w:val="nil"/>
          <w:insideV w:val="nil"/>
        </w:tcBorders>
      </w:tcPr>
    </w:tblStylePr>
    <w:tblStylePr w:type="lastRow">
      <w:pPr>
        <w:spacing w:before="0" w:after="0" w:line="240" w:lineRule="auto"/>
      </w:pPr>
      <w:rPr>
        <w:b/>
        <w:bCs/>
      </w:rPr>
      <w:tblPr/>
      <w:tcPr>
        <w:tcBorders>
          <w:top w:val="single" w:sz="8" w:space="0" w:color="98C723" w:themeColor="accent1"/>
          <w:left w:val="nil"/>
          <w:bottom w:val="single" w:sz="8" w:space="0" w:color="98C723"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4C4" w:themeFill="accent1" w:themeFillTint="3F"/>
      </w:tcPr>
    </w:tblStylePr>
    <w:tblStylePr w:type="band1Horz">
      <w:tblPr/>
      <w:tcPr>
        <w:tcBorders>
          <w:left w:val="nil"/>
          <w:right w:val="nil"/>
          <w:insideH w:val="nil"/>
          <w:insideV w:val="nil"/>
        </w:tcBorders>
        <w:shd w:val="clear" w:color="auto" w:fill="E6F4C4"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paragraph" w:styleId="Heading1">
    <w:name w:val="heading 1"/>
    <w:basedOn w:val="Normal"/>
    <w:next w:val="Normal"/>
    <w:link w:val="Heading1Char"/>
    <w:uiPriority w:val="9"/>
    <w:qFormat/>
    <w:rsid w:val="00EE7816"/>
    <w:pPr>
      <w:keepNext/>
      <w:keepLines/>
      <w:spacing w:before="480" w:after="0"/>
      <w:outlineLvl w:val="0"/>
    </w:pPr>
    <w:rPr>
      <w:rFonts w:asciiTheme="majorHAnsi" w:eastAsiaTheme="majorEastAsia" w:hAnsiTheme="majorHAnsi" w:cstheme="majorBidi"/>
      <w:b/>
      <w:bCs/>
      <w:color w:val="71941A" w:themeColor="accent1" w:themeShade="BF"/>
      <w:sz w:val="28"/>
      <w:szCs w:val="28"/>
    </w:rPr>
  </w:style>
  <w:style w:type="paragraph" w:styleId="Heading2">
    <w:name w:val="heading 2"/>
    <w:basedOn w:val="Normal"/>
    <w:next w:val="Normal"/>
    <w:link w:val="Heading2Char"/>
    <w:uiPriority w:val="9"/>
    <w:semiHidden/>
    <w:unhideWhenUsed/>
    <w:qFormat/>
    <w:rsid w:val="002F63C3"/>
    <w:pPr>
      <w:keepNext/>
      <w:keepLines/>
      <w:spacing w:before="200" w:after="0"/>
      <w:outlineLvl w:val="1"/>
    </w:pPr>
    <w:rPr>
      <w:rFonts w:asciiTheme="majorHAnsi" w:eastAsiaTheme="majorEastAsia" w:hAnsiTheme="majorHAnsi" w:cstheme="majorBidi"/>
      <w:b/>
      <w:bCs/>
      <w:color w:val="98C723"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7816"/>
    <w:rPr>
      <w:rFonts w:asciiTheme="majorHAnsi" w:eastAsiaTheme="majorEastAsia" w:hAnsiTheme="majorHAnsi" w:cstheme="majorBidi"/>
      <w:b/>
      <w:bCs/>
      <w:color w:val="71941A" w:themeColor="accent1" w:themeShade="BF"/>
      <w:sz w:val="28"/>
      <w:szCs w:val="28"/>
      <w:lang w:val="ro-RO"/>
    </w:rPr>
  </w:style>
  <w:style w:type="paragraph" w:styleId="TOCHeading">
    <w:name w:val="TOC Heading"/>
    <w:basedOn w:val="Heading1"/>
    <w:next w:val="Normal"/>
    <w:uiPriority w:val="39"/>
    <w:unhideWhenUsed/>
    <w:qFormat/>
    <w:rsid w:val="00EE7816"/>
    <w:pPr>
      <w:outlineLvl w:val="9"/>
    </w:pPr>
    <w:rPr>
      <w:lang w:val="en-US" w:eastAsia="ja-JP"/>
    </w:rPr>
  </w:style>
  <w:style w:type="paragraph" w:styleId="BalloonText">
    <w:name w:val="Balloon Text"/>
    <w:basedOn w:val="Normal"/>
    <w:link w:val="BalloonTextChar"/>
    <w:uiPriority w:val="99"/>
    <w:semiHidden/>
    <w:unhideWhenUsed/>
    <w:rsid w:val="00EE78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7816"/>
    <w:rPr>
      <w:rFonts w:ascii="Tahoma" w:hAnsi="Tahoma" w:cs="Tahoma"/>
      <w:sz w:val="16"/>
      <w:szCs w:val="16"/>
      <w:lang w:val="ro-RO"/>
    </w:rPr>
  </w:style>
  <w:style w:type="paragraph" w:styleId="TOC2">
    <w:name w:val="toc 2"/>
    <w:basedOn w:val="Normal"/>
    <w:next w:val="Normal"/>
    <w:autoRedefine/>
    <w:uiPriority w:val="39"/>
    <w:semiHidden/>
    <w:unhideWhenUsed/>
    <w:qFormat/>
    <w:rsid w:val="00EE7816"/>
    <w:pPr>
      <w:spacing w:after="100"/>
      <w:ind w:left="220"/>
    </w:pPr>
    <w:rPr>
      <w:rFonts w:eastAsiaTheme="minorEastAsia"/>
      <w:lang w:val="en-US" w:eastAsia="ja-JP"/>
    </w:rPr>
  </w:style>
  <w:style w:type="paragraph" w:styleId="TOC1">
    <w:name w:val="toc 1"/>
    <w:basedOn w:val="Normal"/>
    <w:next w:val="Normal"/>
    <w:autoRedefine/>
    <w:uiPriority w:val="39"/>
    <w:semiHidden/>
    <w:unhideWhenUsed/>
    <w:qFormat/>
    <w:rsid w:val="00EE7816"/>
    <w:pPr>
      <w:spacing w:after="100"/>
    </w:pPr>
    <w:rPr>
      <w:rFonts w:eastAsiaTheme="minorEastAsia"/>
      <w:lang w:val="en-US" w:eastAsia="ja-JP"/>
    </w:rPr>
  </w:style>
  <w:style w:type="paragraph" w:styleId="TOC3">
    <w:name w:val="toc 3"/>
    <w:basedOn w:val="Normal"/>
    <w:next w:val="Normal"/>
    <w:autoRedefine/>
    <w:uiPriority w:val="39"/>
    <w:semiHidden/>
    <w:unhideWhenUsed/>
    <w:qFormat/>
    <w:rsid w:val="00EE7816"/>
    <w:pPr>
      <w:spacing w:after="100"/>
      <w:ind w:left="440"/>
    </w:pPr>
    <w:rPr>
      <w:rFonts w:eastAsiaTheme="minorEastAsia"/>
      <w:lang w:val="en-US" w:eastAsia="ja-JP"/>
    </w:rPr>
  </w:style>
  <w:style w:type="paragraph" w:styleId="ListParagraph">
    <w:name w:val="List Paragraph"/>
    <w:basedOn w:val="Normal"/>
    <w:uiPriority w:val="34"/>
    <w:qFormat/>
    <w:rsid w:val="00EE7816"/>
    <w:pPr>
      <w:ind w:left="720"/>
      <w:contextualSpacing/>
    </w:pPr>
  </w:style>
  <w:style w:type="table" w:styleId="TableGrid">
    <w:name w:val="Table Grid"/>
    <w:basedOn w:val="TableNormal"/>
    <w:uiPriority w:val="59"/>
    <w:rsid w:val="00EE78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EE7816"/>
    <w:pPr>
      <w:spacing w:after="0" w:line="240" w:lineRule="auto"/>
    </w:pPr>
    <w:tblPr>
      <w:tblStyleRowBandSize w:val="1"/>
      <w:tblStyleColBandSize w:val="1"/>
      <w:tblInd w:w="0" w:type="dxa"/>
      <w:tblBorders>
        <w:top w:val="single" w:sz="8" w:space="0" w:color="98C723" w:themeColor="accent1"/>
        <w:left w:val="single" w:sz="8" w:space="0" w:color="98C723" w:themeColor="accent1"/>
        <w:bottom w:val="single" w:sz="8" w:space="0" w:color="98C723" w:themeColor="accent1"/>
        <w:right w:val="single" w:sz="8" w:space="0" w:color="98C723"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8C723" w:themeFill="accent1"/>
      </w:tcPr>
    </w:tblStylePr>
    <w:tblStylePr w:type="lastRow">
      <w:pPr>
        <w:spacing w:before="0" w:after="0" w:line="240" w:lineRule="auto"/>
      </w:pPr>
      <w:rPr>
        <w:b/>
        <w:bCs/>
      </w:rPr>
      <w:tblPr/>
      <w:tcPr>
        <w:tcBorders>
          <w:top w:val="double" w:sz="6" w:space="0" w:color="98C723" w:themeColor="accent1"/>
          <w:left w:val="single" w:sz="8" w:space="0" w:color="98C723" w:themeColor="accent1"/>
          <w:bottom w:val="single" w:sz="8" w:space="0" w:color="98C723" w:themeColor="accent1"/>
          <w:right w:val="single" w:sz="8" w:space="0" w:color="98C723" w:themeColor="accent1"/>
        </w:tcBorders>
      </w:tcPr>
    </w:tblStylePr>
    <w:tblStylePr w:type="firstCol">
      <w:rPr>
        <w:b/>
        <w:bCs/>
      </w:rPr>
    </w:tblStylePr>
    <w:tblStylePr w:type="lastCol">
      <w:rPr>
        <w:b/>
        <w:bCs/>
      </w:rPr>
    </w:tblStylePr>
    <w:tblStylePr w:type="band1Vert">
      <w:tblPr/>
      <w:tcPr>
        <w:tcBorders>
          <w:top w:val="single" w:sz="8" w:space="0" w:color="98C723" w:themeColor="accent1"/>
          <w:left w:val="single" w:sz="8" w:space="0" w:color="98C723" w:themeColor="accent1"/>
          <w:bottom w:val="single" w:sz="8" w:space="0" w:color="98C723" w:themeColor="accent1"/>
          <w:right w:val="single" w:sz="8" w:space="0" w:color="98C723" w:themeColor="accent1"/>
        </w:tcBorders>
      </w:tcPr>
    </w:tblStylePr>
    <w:tblStylePr w:type="band1Horz">
      <w:tblPr/>
      <w:tcPr>
        <w:tcBorders>
          <w:top w:val="single" w:sz="8" w:space="0" w:color="98C723" w:themeColor="accent1"/>
          <w:left w:val="single" w:sz="8" w:space="0" w:color="98C723" w:themeColor="accent1"/>
          <w:bottom w:val="single" w:sz="8" w:space="0" w:color="98C723" w:themeColor="accent1"/>
          <w:right w:val="single" w:sz="8" w:space="0" w:color="98C723" w:themeColor="accent1"/>
        </w:tcBorders>
      </w:tcPr>
    </w:tblStylePr>
  </w:style>
  <w:style w:type="character" w:customStyle="1" w:styleId="Heading2Char">
    <w:name w:val="Heading 2 Char"/>
    <w:basedOn w:val="DefaultParagraphFont"/>
    <w:link w:val="Heading2"/>
    <w:uiPriority w:val="9"/>
    <w:semiHidden/>
    <w:rsid w:val="002F63C3"/>
    <w:rPr>
      <w:rFonts w:asciiTheme="majorHAnsi" w:eastAsiaTheme="majorEastAsia" w:hAnsiTheme="majorHAnsi" w:cstheme="majorBidi"/>
      <w:b/>
      <w:bCs/>
      <w:color w:val="98C723" w:themeColor="accent1"/>
      <w:sz w:val="26"/>
      <w:szCs w:val="26"/>
      <w:lang w:val="ro-RO"/>
    </w:rPr>
  </w:style>
  <w:style w:type="paragraph" w:styleId="FootnoteText">
    <w:name w:val="footnote text"/>
    <w:basedOn w:val="Normal"/>
    <w:link w:val="FootnoteTextChar"/>
    <w:uiPriority w:val="99"/>
    <w:semiHidden/>
    <w:unhideWhenUsed/>
    <w:rsid w:val="00AF23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2307"/>
    <w:rPr>
      <w:sz w:val="20"/>
      <w:szCs w:val="20"/>
      <w:lang w:val="ro-RO"/>
    </w:rPr>
  </w:style>
  <w:style w:type="character" w:styleId="FootnoteReference">
    <w:name w:val="footnote reference"/>
    <w:basedOn w:val="DefaultParagraphFont"/>
    <w:uiPriority w:val="99"/>
    <w:semiHidden/>
    <w:unhideWhenUsed/>
    <w:rsid w:val="00AF2307"/>
    <w:rPr>
      <w:vertAlign w:val="superscript"/>
    </w:rPr>
  </w:style>
  <w:style w:type="paragraph" w:customStyle="1" w:styleId="AddressTR">
    <w:name w:val="AddressTR"/>
    <w:basedOn w:val="Normal"/>
    <w:next w:val="Normal"/>
    <w:rsid w:val="00AF2307"/>
    <w:pPr>
      <w:spacing w:after="720" w:line="240" w:lineRule="auto"/>
      <w:ind w:left="5103"/>
    </w:pPr>
    <w:rPr>
      <w:rFonts w:ascii="Calibri" w:eastAsia="Times New Roman" w:hAnsi="Calibri" w:cs="Times New Roman"/>
      <w:sz w:val="24"/>
      <w:szCs w:val="24"/>
      <w:lang w:val="en-GB" w:eastAsia="en-GB"/>
    </w:rPr>
  </w:style>
  <w:style w:type="paragraph" w:styleId="Header">
    <w:name w:val="header"/>
    <w:basedOn w:val="Normal"/>
    <w:link w:val="HeaderChar"/>
    <w:uiPriority w:val="99"/>
    <w:unhideWhenUsed/>
    <w:rsid w:val="00D026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267E"/>
    <w:rPr>
      <w:lang w:val="ro-RO"/>
    </w:rPr>
  </w:style>
  <w:style w:type="paragraph" w:styleId="Footer">
    <w:name w:val="footer"/>
    <w:basedOn w:val="Normal"/>
    <w:link w:val="FooterChar"/>
    <w:uiPriority w:val="99"/>
    <w:unhideWhenUsed/>
    <w:rsid w:val="00D026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267E"/>
    <w:rPr>
      <w:lang w:val="ro-RO"/>
    </w:rPr>
  </w:style>
  <w:style w:type="table" w:styleId="LightShading-Accent3">
    <w:name w:val="Light Shading Accent 3"/>
    <w:basedOn w:val="TableNormal"/>
    <w:uiPriority w:val="60"/>
    <w:rsid w:val="00B232BA"/>
    <w:pPr>
      <w:spacing w:after="0" w:line="240" w:lineRule="auto"/>
    </w:pPr>
    <w:rPr>
      <w:color w:val="A68100" w:themeColor="accent3" w:themeShade="BF"/>
    </w:rPr>
    <w:tblPr>
      <w:tblStyleRowBandSize w:val="1"/>
      <w:tblStyleColBandSize w:val="1"/>
      <w:tblInd w:w="0" w:type="dxa"/>
      <w:tblBorders>
        <w:top w:val="single" w:sz="8" w:space="0" w:color="DEAE00" w:themeColor="accent3"/>
        <w:bottom w:val="single" w:sz="8" w:space="0" w:color="DEAE00"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DEAE00" w:themeColor="accent3"/>
          <w:left w:val="nil"/>
          <w:bottom w:val="single" w:sz="8" w:space="0" w:color="DEAE00" w:themeColor="accent3"/>
          <w:right w:val="nil"/>
          <w:insideH w:val="nil"/>
          <w:insideV w:val="nil"/>
        </w:tcBorders>
      </w:tcPr>
    </w:tblStylePr>
    <w:tblStylePr w:type="lastRow">
      <w:pPr>
        <w:spacing w:before="0" w:after="0" w:line="240" w:lineRule="auto"/>
      </w:pPr>
      <w:rPr>
        <w:b/>
        <w:bCs/>
      </w:rPr>
      <w:tblPr/>
      <w:tcPr>
        <w:tcBorders>
          <w:top w:val="single" w:sz="8" w:space="0" w:color="DEAE00" w:themeColor="accent3"/>
          <w:left w:val="nil"/>
          <w:bottom w:val="single" w:sz="8" w:space="0" w:color="DEAE0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B7" w:themeFill="accent3" w:themeFillTint="3F"/>
      </w:tcPr>
    </w:tblStylePr>
    <w:tblStylePr w:type="band1Horz">
      <w:tblPr/>
      <w:tcPr>
        <w:tcBorders>
          <w:left w:val="nil"/>
          <w:right w:val="nil"/>
          <w:insideH w:val="nil"/>
          <w:insideV w:val="nil"/>
        </w:tcBorders>
        <w:shd w:val="clear" w:color="auto" w:fill="FFEFB7" w:themeFill="accent3" w:themeFillTint="3F"/>
      </w:tcPr>
    </w:tblStylePr>
  </w:style>
  <w:style w:type="table" w:styleId="LightShading-Accent5">
    <w:name w:val="Light Shading Accent 5"/>
    <w:basedOn w:val="TableNormal"/>
    <w:uiPriority w:val="60"/>
    <w:rsid w:val="00B232BA"/>
    <w:pPr>
      <w:spacing w:after="0" w:line="240" w:lineRule="auto"/>
    </w:pPr>
    <w:rPr>
      <w:color w:val="B7541D" w:themeColor="accent5" w:themeShade="BF"/>
    </w:rPr>
    <w:tblPr>
      <w:tblStyleRowBandSize w:val="1"/>
      <w:tblStyleColBandSize w:val="1"/>
      <w:tblInd w:w="0" w:type="dxa"/>
      <w:tblBorders>
        <w:top w:val="single" w:sz="8" w:space="0" w:color="E0773C" w:themeColor="accent5"/>
        <w:bottom w:val="single" w:sz="8" w:space="0" w:color="E0773C"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0773C" w:themeColor="accent5"/>
          <w:left w:val="nil"/>
          <w:bottom w:val="single" w:sz="8" w:space="0" w:color="E0773C" w:themeColor="accent5"/>
          <w:right w:val="nil"/>
          <w:insideH w:val="nil"/>
          <w:insideV w:val="nil"/>
        </w:tcBorders>
      </w:tcPr>
    </w:tblStylePr>
    <w:tblStylePr w:type="lastRow">
      <w:pPr>
        <w:spacing w:before="0" w:after="0" w:line="240" w:lineRule="auto"/>
      </w:pPr>
      <w:rPr>
        <w:b/>
        <w:bCs/>
      </w:rPr>
      <w:tblPr/>
      <w:tcPr>
        <w:tcBorders>
          <w:top w:val="single" w:sz="8" w:space="0" w:color="E0773C" w:themeColor="accent5"/>
          <w:left w:val="nil"/>
          <w:bottom w:val="single" w:sz="8" w:space="0" w:color="E0773C"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DDCE" w:themeFill="accent5" w:themeFillTint="3F"/>
      </w:tcPr>
    </w:tblStylePr>
    <w:tblStylePr w:type="band1Horz">
      <w:tblPr/>
      <w:tcPr>
        <w:tcBorders>
          <w:left w:val="nil"/>
          <w:right w:val="nil"/>
          <w:insideH w:val="nil"/>
          <w:insideV w:val="nil"/>
        </w:tcBorders>
        <w:shd w:val="clear" w:color="auto" w:fill="F7DDCE" w:themeFill="accent5" w:themeFillTint="3F"/>
      </w:tcPr>
    </w:tblStylePr>
  </w:style>
  <w:style w:type="table" w:styleId="LightGrid-Accent1">
    <w:name w:val="Light Grid Accent 1"/>
    <w:basedOn w:val="TableNormal"/>
    <w:uiPriority w:val="62"/>
    <w:rsid w:val="00B232BA"/>
    <w:pPr>
      <w:spacing w:after="0" w:line="240" w:lineRule="auto"/>
    </w:pPr>
    <w:tblPr>
      <w:tblStyleRowBandSize w:val="1"/>
      <w:tblStyleColBandSize w:val="1"/>
      <w:tblInd w:w="0" w:type="dxa"/>
      <w:tblBorders>
        <w:top w:val="single" w:sz="8" w:space="0" w:color="98C723" w:themeColor="accent1"/>
        <w:left w:val="single" w:sz="8" w:space="0" w:color="98C723" w:themeColor="accent1"/>
        <w:bottom w:val="single" w:sz="8" w:space="0" w:color="98C723" w:themeColor="accent1"/>
        <w:right w:val="single" w:sz="8" w:space="0" w:color="98C723" w:themeColor="accent1"/>
        <w:insideH w:val="single" w:sz="8" w:space="0" w:color="98C723" w:themeColor="accent1"/>
        <w:insideV w:val="single" w:sz="8" w:space="0" w:color="98C723"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8C723" w:themeColor="accent1"/>
          <w:left w:val="single" w:sz="8" w:space="0" w:color="98C723" w:themeColor="accent1"/>
          <w:bottom w:val="single" w:sz="18" w:space="0" w:color="98C723" w:themeColor="accent1"/>
          <w:right w:val="single" w:sz="8" w:space="0" w:color="98C723" w:themeColor="accent1"/>
          <w:insideH w:val="nil"/>
          <w:insideV w:val="single" w:sz="8" w:space="0" w:color="98C723"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8C723" w:themeColor="accent1"/>
          <w:left w:val="single" w:sz="8" w:space="0" w:color="98C723" w:themeColor="accent1"/>
          <w:bottom w:val="single" w:sz="8" w:space="0" w:color="98C723" w:themeColor="accent1"/>
          <w:right w:val="single" w:sz="8" w:space="0" w:color="98C723" w:themeColor="accent1"/>
          <w:insideH w:val="nil"/>
          <w:insideV w:val="single" w:sz="8" w:space="0" w:color="98C723"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8C723" w:themeColor="accent1"/>
          <w:left w:val="single" w:sz="8" w:space="0" w:color="98C723" w:themeColor="accent1"/>
          <w:bottom w:val="single" w:sz="8" w:space="0" w:color="98C723" w:themeColor="accent1"/>
          <w:right w:val="single" w:sz="8" w:space="0" w:color="98C723" w:themeColor="accent1"/>
        </w:tcBorders>
      </w:tcPr>
    </w:tblStylePr>
    <w:tblStylePr w:type="band1Vert">
      <w:tblPr/>
      <w:tcPr>
        <w:tcBorders>
          <w:top w:val="single" w:sz="8" w:space="0" w:color="98C723" w:themeColor="accent1"/>
          <w:left w:val="single" w:sz="8" w:space="0" w:color="98C723" w:themeColor="accent1"/>
          <w:bottom w:val="single" w:sz="8" w:space="0" w:color="98C723" w:themeColor="accent1"/>
          <w:right w:val="single" w:sz="8" w:space="0" w:color="98C723" w:themeColor="accent1"/>
        </w:tcBorders>
        <w:shd w:val="clear" w:color="auto" w:fill="E6F4C4" w:themeFill="accent1" w:themeFillTint="3F"/>
      </w:tcPr>
    </w:tblStylePr>
    <w:tblStylePr w:type="band1Horz">
      <w:tblPr/>
      <w:tcPr>
        <w:tcBorders>
          <w:top w:val="single" w:sz="8" w:space="0" w:color="98C723" w:themeColor="accent1"/>
          <w:left w:val="single" w:sz="8" w:space="0" w:color="98C723" w:themeColor="accent1"/>
          <w:bottom w:val="single" w:sz="8" w:space="0" w:color="98C723" w:themeColor="accent1"/>
          <w:right w:val="single" w:sz="8" w:space="0" w:color="98C723" w:themeColor="accent1"/>
          <w:insideV w:val="single" w:sz="8" w:space="0" w:color="98C723" w:themeColor="accent1"/>
        </w:tcBorders>
        <w:shd w:val="clear" w:color="auto" w:fill="E6F4C4" w:themeFill="accent1" w:themeFillTint="3F"/>
      </w:tcPr>
    </w:tblStylePr>
    <w:tblStylePr w:type="band2Horz">
      <w:tblPr/>
      <w:tcPr>
        <w:tcBorders>
          <w:top w:val="single" w:sz="8" w:space="0" w:color="98C723" w:themeColor="accent1"/>
          <w:left w:val="single" w:sz="8" w:space="0" w:color="98C723" w:themeColor="accent1"/>
          <w:bottom w:val="single" w:sz="8" w:space="0" w:color="98C723" w:themeColor="accent1"/>
          <w:right w:val="single" w:sz="8" w:space="0" w:color="98C723" w:themeColor="accent1"/>
          <w:insideV w:val="single" w:sz="8" w:space="0" w:color="98C723" w:themeColor="accent1"/>
        </w:tcBorders>
      </w:tcPr>
    </w:tblStylePr>
  </w:style>
  <w:style w:type="character" w:styleId="Hyperlink">
    <w:name w:val="Hyperlink"/>
    <w:basedOn w:val="DefaultParagraphFont"/>
    <w:uiPriority w:val="99"/>
    <w:unhideWhenUsed/>
    <w:rsid w:val="006F5AE3"/>
    <w:rPr>
      <w:color w:val="26CBEC" w:themeColor="hyperlink"/>
      <w:u w:val="single"/>
    </w:rPr>
  </w:style>
  <w:style w:type="paragraph" w:customStyle="1" w:styleId="Guidelines5">
    <w:name w:val="Guidelines 5"/>
    <w:basedOn w:val="Normal"/>
    <w:rsid w:val="00FF6A93"/>
    <w:pPr>
      <w:keepNext/>
      <w:spacing w:before="240" w:after="240" w:line="240" w:lineRule="auto"/>
      <w:jc w:val="both"/>
    </w:pPr>
    <w:rPr>
      <w:rFonts w:ascii="Verdana" w:eastAsia="Times New Roman" w:hAnsi="Verdana" w:cs="Times New Roman"/>
      <w:b/>
      <w:noProof/>
      <w:snapToGrid w:val="0"/>
      <w:sz w:val="24"/>
      <w:szCs w:val="20"/>
    </w:rPr>
  </w:style>
  <w:style w:type="paragraph" w:customStyle="1" w:styleId="Bulletletter">
    <w:name w:val="Bullet letter"/>
    <w:basedOn w:val="Normal"/>
    <w:rsid w:val="00FF6A93"/>
    <w:pPr>
      <w:keepNext/>
      <w:numPr>
        <w:numId w:val="21"/>
      </w:numPr>
      <w:tabs>
        <w:tab w:val="left" w:pos="-3402"/>
        <w:tab w:val="num" w:pos="567"/>
      </w:tabs>
      <w:spacing w:line="240" w:lineRule="auto"/>
      <w:ind w:left="567" w:hanging="567"/>
      <w:jc w:val="both"/>
    </w:pPr>
    <w:rPr>
      <w:rFonts w:ascii="Arial" w:eastAsia="Times New Roman" w:hAnsi="Arial" w:cs="Times New Roman"/>
      <w:szCs w:val="20"/>
      <w:lang w:val="en-IE"/>
    </w:rPr>
  </w:style>
  <w:style w:type="character" w:styleId="CommentReference">
    <w:name w:val="annotation reference"/>
    <w:basedOn w:val="DefaultParagraphFont"/>
    <w:uiPriority w:val="99"/>
    <w:semiHidden/>
    <w:unhideWhenUsed/>
    <w:rsid w:val="001522C0"/>
    <w:rPr>
      <w:sz w:val="16"/>
      <w:szCs w:val="16"/>
    </w:rPr>
  </w:style>
  <w:style w:type="paragraph" w:styleId="CommentText">
    <w:name w:val="annotation text"/>
    <w:basedOn w:val="Normal"/>
    <w:link w:val="CommentTextChar"/>
    <w:uiPriority w:val="99"/>
    <w:semiHidden/>
    <w:unhideWhenUsed/>
    <w:rsid w:val="001522C0"/>
    <w:pPr>
      <w:spacing w:line="240" w:lineRule="auto"/>
    </w:pPr>
    <w:rPr>
      <w:sz w:val="20"/>
      <w:szCs w:val="20"/>
    </w:rPr>
  </w:style>
  <w:style w:type="character" w:customStyle="1" w:styleId="CommentTextChar">
    <w:name w:val="Comment Text Char"/>
    <w:basedOn w:val="DefaultParagraphFont"/>
    <w:link w:val="CommentText"/>
    <w:uiPriority w:val="99"/>
    <w:semiHidden/>
    <w:rsid w:val="001522C0"/>
    <w:rPr>
      <w:sz w:val="20"/>
      <w:szCs w:val="20"/>
      <w:lang w:val="ro-RO"/>
    </w:rPr>
  </w:style>
  <w:style w:type="paragraph" w:styleId="CommentSubject">
    <w:name w:val="annotation subject"/>
    <w:basedOn w:val="CommentText"/>
    <w:next w:val="CommentText"/>
    <w:link w:val="CommentSubjectChar"/>
    <w:uiPriority w:val="99"/>
    <w:semiHidden/>
    <w:unhideWhenUsed/>
    <w:rsid w:val="001522C0"/>
    <w:rPr>
      <w:b/>
      <w:bCs/>
    </w:rPr>
  </w:style>
  <w:style w:type="character" w:customStyle="1" w:styleId="CommentSubjectChar">
    <w:name w:val="Comment Subject Char"/>
    <w:basedOn w:val="CommentTextChar"/>
    <w:link w:val="CommentSubject"/>
    <w:uiPriority w:val="99"/>
    <w:semiHidden/>
    <w:rsid w:val="001522C0"/>
    <w:rPr>
      <w:b/>
      <w:bCs/>
      <w:sz w:val="20"/>
      <w:szCs w:val="20"/>
      <w:lang w:val="ro-RO"/>
    </w:rPr>
  </w:style>
  <w:style w:type="paragraph" w:customStyle="1" w:styleId="Default">
    <w:name w:val="Default"/>
    <w:rsid w:val="0099731D"/>
    <w:pPr>
      <w:autoSpaceDE w:val="0"/>
      <w:autoSpaceDN w:val="0"/>
      <w:adjustRightInd w:val="0"/>
      <w:spacing w:after="0" w:line="240" w:lineRule="auto"/>
    </w:pPr>
    <w:rPr>
      <w:rFonts w:ascii="Calibri" w:hAnsi="Calibri" w:cs="Calibri"/>
      <w:color w:val="000000"/>
      <w:sz w:val="24"/>
      <w:szCs w:val="24"/>
    </w:rPr>
  </w:style>
  <w:style w:type="table" w:styleId="LightShading-Accent1">
    <w:name w:val="Light Shading Accent 1"/>
    <w:basedOn w:val="TableNormal"/>
    <w:uiPriority w:val="60"/>
    <w:rsid w:val="00F73017"/>
    <w:pPr>
      <w:spacing w:after="0" w:line="240" w:lineRule="auto"/>
    </w:pPr>
    <w:rPr>
      <w:color w:val="71941A" w:themeColor="accent1" w:themeShade="BF"/>
    </w:rPr>
    <w:tblPr>
      <w:tblStyleRowBandSize w:val="1"/>
      <w:tblStyleColBandSize w:val="1"/>
      <w:tblInd w:w="0" w:type="dxa"/>
      <w:tblBorders>
        <w:top w:val="single" w:sz="8" w:space="0" w:color="98C723" w:themeColor="accent1"/>
        <w:bottom w:val="single" w:sz="8" w:space="0" w:color="98C723"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8C723" w:themeColor="accent1"/>
          <w:left w:val="nil"/>
          <w:bottom w:val="single" w:sz="8" w:space="0" w:color="98C723" w:themeColor="accent1"/>
          <w:right w:val="nil"/>
          <w:insideH w:val="nil"/>
          <w:insideV w:val="nil"/>
        </w:tcBorders>
      </w:tcPr>
    </w:tblStylePr>
    <w:tblStylePr w:type="lastRow">
      <w:pPr>
        <w:spacing w:before="0" w:after="0" w:line="240" w:lineRule="auto"/>
      </w:pPr>
      <w:rPr>
        <w:b/>
        <w:bCs/>
      </w:rPr>
      <w:tblPr/>
      <w:tcPr>
        <w:tcBorders>
          <w:top w:val="single" w:sz="8" w:space="0" w:color="98C723" w:themeColor="accent1"/>
          <w:left w:val="nil"/>
          <w:bottom w:val="single" w:sz="8" w:space="0" w:color="98C723"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4C4" w:themeFill="accent1" w:themeFillTint="3F"/>
      </w:tcPr>
    </w:tblStylePr>
    <w:tblStylePr w:type="band1Horz">
      <w:tblPr/>
      <w:tcPr>
        <w:tcBorders>
          <w:left w:val="nil"/>
          <w:right w:val="nil"/>
          <w:insideH w:val="nil"/>
          <w:insideV w:val="nil"/>
        </w:tcBorders>
        <w:shd w:val="clear" w:color="auto" w:fill="E6F4C4"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Composite">
      <a:dk1>
        <a:sysClr val="windowText" lastClr="000000"/>
      </a:dk1>
      <a:lt1>
        <a:sysClr val="window" lastClr="FFFFFF"/>
      </a:lt1>
      <a:dk2>
        <a:srgbClr val="5B6973"/>
      </a:dk2>
      <a:lt2>
        <a:srgbClr val="E7ECED"/>
      </a:lt2>
      <a:accent1>
        <a:srgbClr val="98C723"/>
      </a:accent1>
      <a:accent2>
        <a:srgbClr val="59B0B9"/>
      </a:accent2>
      <a:accent3>
        <a:srgbClr val="DEAE00"/>
      </a:accent3>
      <a:accent4>
        <a:srgbClr val="B77BB4"/>
      </a:accent4>
      <a:accent5>
        <a:srgbClr val="E0773C"/>
      </a:accent5>
      <a:accent6>
        <a:srgbClr val="A98D63"/>
      </a:accent6>
      <a:hlink>
        <a:srgbClr val="26CBEC"/>
      </a:hlink>
      <a:folHlink>
        <a:srgbClr val="598C8C"/>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CC7E6-059B-4091-AA60-25EEB117A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1913</Words>
  <Characters>10909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dc:creator>
  <cp:lastModifiedBy>Monica Verdes</cp:lastModifiedBy>
  <cp:revision>25</cp:revision>
  <cp:lastPrinted>2015-12-11T12:52:00Z</cp:lastPrinted>
  <dcterms:created xsi:type="dcterms:W3CDTF">2016-03-14T15:53:00Z</dcterms:created>
  <dcterms:modified xsi:type="dcterms:W3CDTF">2016-07-05T14:36:00Z</dcterms:modified>
</cp:coreProperties>
</file>